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B2795F">
      <w:pPr>
        <w:pStyle w:val="82"/>
        <w:bidi w:val="0"/>
      </w:pPr>
      <w:r>
        <w:t>寿县寿州文化旅游发展有限公司音响设备采购需求</w:t>
      </w:r>
    </w:p>
    <w:p w14:paraId="38B97762">
      <w:pPr>
        <w:pStyle w:val="3"/>
        <w:bidi w:val="0"/>
      </w:pPr>
      <w:bookmarkStart w:id="0" w:name="heading_0"/>
      <w:r>
        <w:t>采购需求备注</w:t>
      </w:r>
      <w:bookmarkEnd w:id="0"/>
    </w:p>
    <w:p w14:paraId="504B73F0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1. 本需求所列技术参数为最低要求，所投产品技术指标需不低于本需求列明标准，无指定品牌、型号，符合国家相关行</w:t>
      </w:r>
      <w:bookmarkStart w:id="3" w:name="_GoBack"/>
      <w:bookmarkEnd w:id="3"/>
      <w:r>
        <w:rPr>
          <w:rFonts w:ascii="Arial" w:hAnsi="Arial" w:eastAsia="等线" w:cs="Arial"/>
          <w:sz w:val="22"/>
        </w:rPr>
        <w:t>业标准、质量检测标准即可。</w:t>
      </w:r>
    </w:p>
    <w:p w14:paraId="2E459528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2. 所投产品外观需适配项目实际使用场景及安装要求。</w:t>
      </w:r>
    </w:p>
    <w:p w14:paraId="327EDE2F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3. 报价包含设备采购、配套线材、定制配件、运输、装卸、安装、调试、检测、增值税</w:t>
      </w:r>
      <w:r>
        <w:rPr>
          <w:rFonts w:hint="eastAsia" w:ascii="Arial" w:hAnsi="Arial" w:eastAsia="等线" w:cs="Arial"/>
          <w:sz w:val="22"/>
          <w:lang w:val="en-US" w:eastAsia="zh-CN"/>
        </w:rPr>
        <w:t>专票税费</w:t>
      </w:r>
      <w:r>
        <w:rPr>
          <w:rFonts w:ascii="Arial" w:hAnsi="Arial" w:eastAsia="等线" w:cs="Arial"/>
          <w:sz w:val="22"/>
        </w:rPr>
        <w:t>、售后服务及合同履行过程中所有隐含费用，合同履行期间无任何额外收费。</w:t>
      </w:r>
    </w:p>
    <w:p w14:paraId="452F2684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4. 设备售后质保期≥1年，质保期内提供免费上门维修、配件更换服务，接到故障报修后2小时内响应，24小时内派员到场处理；质保期满后提供终身成本价维修及配件供应服务。</w:t>
      </w:r>
    </w:p>
    <w:p w14:paraId="78CBC61B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5. 所有定制配件、机柜、保护套等需与所投主设备完全适配，安装后运行稳定、无兼容问题，满足设备正常使用及防护需求。</w:t>
      </w:r>
    </w:p>
    <w:p w14:paraId="24972317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6. 供应商需提供所投产品的合格证明、检测报告等相关资料，确保产品质量合规。</w:t>
      </w:r>
    </w:p>
    <w:p w14:paraId="57A23867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7. 安装调试完成后，需配合采购方完成设备验收，验收合格后提供现场操作、日常维护、简单故障排查等免费培训，确保使用方人员能独立操作设备。</w:t>
      </w:r>
    </w:p>
    <w:p w14:paraId="68B40B1E">
      <w:pPr>
        <w:pStyle w:val="3"/>
        <w:bidi w:val="0"/>
      </w:pPr>
      <w:bookmarkStart w:id="1" w:name="heading_1"/>
      <w:r>
        <w:t>音响设备采购核心技术参数及数量要求</w:t>
      </w:r>
      <w:bookmarkEnd w:id="1"/>
    </w:p>
    <w:tbl>
      <w:tblPr>
        <w:tblStyle w:val="86"/>
        <w:tblW w:w="8521" w:type="dxa"/>
        <w:jc w:val="center"/>
        <w:tblBorders>
          <w:top w:val="single" w:color="DEE0E3" w:sz="0" w:space="0"/>
          <w:left w:val="single" w:color="DEE0E3" w:sz="0" w:space="0"/>
          <w:bottom w:val="single" w:color="DEE0E3" w:sz="0" w:space="0"/>
          <w:right w:val="single" w:color="DEE0E3" w:sz="0" w:space="0"/>
          <w:insideH w:val="single" w:color="DEE0E3" w:sz="0" w:space="0"/>
          <w:insideV w:val="single" w:color="DEE0E3" w:sz="0" w:space="0"/>
        </w:tblBorders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677"/>
        <w:gridCol w:w="1644"/>
        <w:gridCol w:w="4846"/>
        <w:gridCol w:w="677"/>
        <w:gridCol w:w="677"/>
      </w:tblGrid>
      <w:tr w14:paraId="59447E92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tblHeader/>
          <w:jc w:val="center"/>
        </w:trPr>
        <w:tc>
          <w:tcPr>
            <w:tcW w:w="67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F7FAB32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b/>
                <w:sz w:val="22"/>
              </w:rPr>
            </w:pPr>
            <w:r>
              <w:rPr>
                <w:rFonts w:ascii="Arial" w:hAnsi="Arial" w:eastAsia="等线" w:cs="Arial"/>
                <w:b/>
                <w:sz w:val="22"/>
              </w:rPr>
              <w:t>序号</w:t>
            </w:r>
          </w:p>
        </w:tc>
        <w:tc>
          <w:tcPr>
            <w:tcW w:w="1644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82EC595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b/>
                <w:sz w:val="22"/>
              </w:rPr>
            </w:pPr>
            <w:r>
              <w:rPr>
                <w:rFonts w:ascii="Arial" w:hAnsi="Arial" w:eastAsia="等线" w:cs="Arial"/>
                <w:b/>
                <w:sz w:val="22"/>
              </w:rPr>
              <w:t>产品名称</w:t>
            </w:r>
          </w:p>
        </w:tc>
        <w:tc>
          <w:tcPr>
            <w:tcW w:w="484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B371467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b/>
                <w:sz w:val="22"/>
              </w:rPr>
            </w:pPr>
            <w:r>
              <w:rPr>
                <w:rFonts w:ascii="Arial" w:hAnsi="Arial" w:eastAsia="等线" w:cs="Arial"/>
                <w:b/>
                <w:sz w:val="22"/>
              </w:rPr>
              <w:t>技术参数要求</w:t>
            </w:r>
          </w:p>
        </w:tc>
        <w:tc>
          <w:tcPr>
            <w:tcW w:w="67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4E53D71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b/>
                <w:sz w:val="22"/>
              </w:rPr>
            </w:pPr>
            <w:r>
              <w:rPr>
                <w:rFonts w:ascii="Arial" w:hAnsi="Arial" w:eastAsia="等线" w:cs="Arial"/>
                <w:b/>
                <w:sz w:val="22"/>
              </w:rPr>
              <w:t>单位</w:t>
            </w:r>
          </w:p>
        </w:tc>
        <w:tc>
          <w:tcPr>
            <w:tcW w:w="67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DC911BF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b/>
                <w:sz w:val="22"/>
              </w:rPr>
            </w:pPr>
            <w:r>
              <w:rPr>
                <w:rFonts w:ascii="Arial" w:hAnsi="Arial" w:eastAsia="等线" w:cs="Arial"/>
                <w:b/>
                <w:sz w:val="22"/>
              </w:rPr>
              <w:t>数量</w:t>
            </w:r>
          </w:p>
        </w:tc>
      </w:tr>
      <w:tr w14:paraId="2AB00690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7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3193E77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1</w:t>
            </w:r>
          </w:p>
        </w:tc>
        <w:tc>
          <w:tcPr>
            <w:tcW w:w="1644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F36A85C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铝合金音柱音箱</w:t>
            </w:r>
          </w:p>
        </w:tc>
        <w:tc>
          <w:tcPr>
            <w:tcW w:w="484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DCD276C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◆采用4×3.5"音柱式设计，全铝合金箱体，具备抗腐蚀、抗磨损、轻量化特性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◆单元类型：4×3.5″中低频单元+1″高频单元，高频单元采用钕磁材质，拾音/扩音效果佳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◆额定功率≥180W，最大功率≥320W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◆灵敏度(1w/s)≥95 dB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◆最大声压级≥130dB Peak(@1m)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◆频响范围：140Hz～20kHz（±3dB）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◆投射角度：40°×140°（±5°）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◆阻抗：8 Ohms（±1Ω）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◆颜色：黑色/白色可选，满足现场环境搭配需求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◆单台重量≤5kg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◆外形尺寸（宽×深×高）：100-110×180-190×790-810mm</w:t>
            </w:r>
          </w:p>
        </w:tc>
        <w:tc>
          <w:tcPr>
            <w:tcW w:w="67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4E1729A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只</w:t>
            </w:r>
          </w:p>
        </w:tc>
        <w:tc>
          <w:tcPr>
            <w:tcW w:w="67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135BEEB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8</w:t>
            </w:r>
          </w:p>
        </w:tc>
      </w:tr>
      <w:tr w14:paraId="672CC22C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7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C125ED5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2</w:t>
            </w:r>
          </w:p>
        </w:tc>
        <w:tc>
          <w:tcPr>
            <w:tcW w:w="1644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F17012C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12寸有源低音炮（内置三通道功放和DSP）</w:t>
            </w:r>
          </w:p>
        </w:tc>
        <w:tc>
          <w:tcPr>
            <w:tcW w:w="484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AF68DC4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◆单12″有源超低频音箱，内置数字功率放大模块，功放效率高、功耗低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◆内置一进三出DSP数字音频处理器，每个通道支持分频、EQ、压限、延时等参数独立调节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◆单元类型：12″超低频低音单元，低频表现强劲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◆额定功率≥350W，最大功率≥700 W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◆阻抗：8 Ohm（±1Ω），灵敏度≥97dB(1w/s)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◆最大声压级≥123dB(@1m)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◆频响范围：38Hz～250Hz(±3dB)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◆内置功放输出功率：总功率≥2000W，三通道功率分配≥1000W+500W+500W，D类功放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◆内置功放输入阻抗≥20 KΩ，输入灵敏度0.775V（±0.025V）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◆内置功放失真度﹤0.05%（额定功率下），阻尼系数≥400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◆内置功放工作电压：190V～240V 50/60Hz，宽电压适配，满足电网波动需求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◆电源接口：采用紧锁式工业级交流电源输入接口，具备防脱落、防接触不良、防触电特性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◆单台净重≤22kg，毛重≤25kg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◆外形尺寸(宽×深×高)：360-370×440-460×620-630mm</w:t>
            </w:r>
          </w:p>
        </w:tc>
        <w:tc>
          <w:tcPr>
            <w:tcW w:w="67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0D83186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只</w:t>
            </w:r>
          </w:p>
        </w:tc>
        <w:tc>
          <w:tcPr>
            <w:tcW w:w="67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1F904CE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8</w:t>
            </w:r>
          </w:p>
        </w:tc>
      </w:tr>
      <w:tr w14:paraId="148D64DC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7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DD9886F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3</w:t>
            </w:r>
          </w:p>
        </w:tc>
        <w:tc>
          <w:tcPr>
            <w:tcW w:w="1644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B075CD2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调音台（8路）</w:t>
            </w:r>
          </w:p>
        </w:tc>
        <w:tc>
          <w:tcPr>
            <w:tcW w:w="484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6A9DDD7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◆8路输入通道，通道布局合理，操作便捷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◆频率响应：20 HZ~20 KHZ(+1，-3 db)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◆总谐波失真：&lt;%1（额定条件：20 HZ-20 KHZ）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◆等效输入噪音≤-110 dBm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◆输入通道均衡特性：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 xml:space="preserve">  低频：80 HZ(±5HZ)/±15 dB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 xml:space="preserve">  中频：0.25-6.0 Khz/±15 dB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 xml:space="preserve">  高频：12 KHZ(±500HZ)/±15 dB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◆线路输入时的最大增益≥50 dB，传声器输入时的最大增益≥60 dB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◆输入阻抗：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 xml:space="preserve">  话筒输入≥1.0 KΩ，录音输入47 KΩ（±2 KΩ）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 xml:space="preserve">  线路输出≥10 KΩ，辅助返回输入≥20 KΩ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◆输出阻抗：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 xml:space="preserve">  左/右总输出≤300 Ω，监听总输出≤300 Ω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 xml:space="preserve">  录音输出≤10 KΩ，效果激励器输出≤10 KΩ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◆效果器：24-BIT及以上模数转换器，效果种类≥32种，采样速率≥48 KHZ，音效丰富可调节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◆整机功率≤40 W，节能降耗；电源为AC100V-240V宽电压设计，50/60Hz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◆机壳尺寸（H*W*D）：60-62×40-41×11-13cm，包装尺寸（H*W*D）：68-70×49-51×20-22cm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◆毛重≤11Kg，净重≥8Kg，机身坚固，便于搬运安装</w:t>
            </w:r>
          </w:p>
        </w:tc>
        <w:tc>
          <w:tcPr>
            <w:tcW w:w="67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E777E98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套</w:t>
            </w:r>
          </w:p>
        </w:tc>
        <w:tc>
          <w:tcPr>
            <w:tcW w:w="67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8C8530F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4</w:t>
            </w:r>
          </w:p>
        </w:tc>
      </w:tr>
      <w:tr w14:paraId="79E9DB04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7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1793547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4</w:t>
            </w:r>
          </w:p>
        </w:tc>
        <w:tc>
          <w:tcPr>
            <w:tcW w:w="1644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90A4F39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一拖二无线手持话筒</w:t>
            </w:r>
          </w:p>
        </w:tc>
        <w:tc>
          <w:tcPr>
            <w:tcW w:w="484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78A66FC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◆主动分集双通道接收机，接收频段：640-690MHz（可调），抗干扰能力强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◆接收机采用天线矩阵式极化信号处理技术，可同时捕获垂直/水平极化波，增强接收距离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◆纯自动选讯（真正分集）接收方式，无接收断音现象，有效接收距离≥50米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◆支持中文/英文双语操作界面，可自由切换，适配不同操作人员使用习惯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◆高频接收电路，支持同时叠机使用通道数≥80个，满足多设备同时使用需求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◆每通道支持≥2支麦克风独立切换使用，操作灵活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◆采用高保真音频处理电路，音质干净、饱满，无失真，人声还原度高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◆内置频谱扫描仪，可实时扫描频段干扰程度并柱状显示，系统自动筛选无干扰频点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◆优化PLL合成器和微处理器技术，信号传输稳定，具备先进的噪音抑制方法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◆具备控制音传输静噪功能，无信号时无杂音、无电流声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◆接收机机身采用铝合金材质，侧板一体化设计，坚固耐用、抗摔防刮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◆手持话筒机身采用金属材质，符合人体工程学设计，握持舒适，抗摔、耐磨、防汗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◆手持话筒采用超宽频设计，频宽≥120MHz，话音表现清晰、自然，覆盖人声全频段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◆咪头模组采用分离式设计，支持主流品牌咪头更换适配，便于后期维护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◆音频讯号频率响应曲线平稳、宽广，适配各类人声传播场景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◆采用阵列式天线发射设计，复杂环境下信号发射稳定，无断连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◆配备OLED高清显示屏，无视角限制，任意角度清晰显示频道、电池电量等信息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◆具备红外线数据同步功能，实现与接收机快速、精准对频，操作简便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◆高节能发射电路，采用5号（AA）电池供电，单节电池可持续使用≥10小时</w:t>
            </w:r>
          </w:p>
        </w:tc>
        <w:tc>
          <w:tcPr>
            <w:tcW w:w="67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DE65E95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套</w:t>
            </w:r>
          </w:p>
        </w:tc>
        <w:tc>
          <w:tcPr>
            <w:tcW w:w="67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1DE643F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4</w:t>
            </w:r>
          </w:p>
        </w:tc>
      </w:tr>
      <w:tr w14:paraId="58CCFB6C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7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F7EC9DB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5</w:t>
            </w:r>
          </w:p>
        </w:tc>
        <w:tc>
          <w:tcPr>
            <w:tcW w:w="1644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14319C9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头戴麦（含主动分集双通道接收机）</w:t>
            </w:r>
          </w:p>
        </w:tc>
        <w:tc>
          <w:tcPr>
            <w:tcW w:w="484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DE88F7F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◆主动分集双通道接收机，核心技术参数与本采购需求第4项无线手持话筒接收机一致，实现设备兼容统一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◆腰包发射机采用金属机身，坚固耐用，抗干扰能力强，体积小巧便于携带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◆腰包发射机具备5V/12V/48V多档位供电，适配不同类型电容麦克风，使用场景广泛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◆腰包发射机采用超宽频设计，频宽≥120MHz，与接收机频段精准匹配，无信号偏差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◆采用高保真供电电路，提升音质密度，无电流杂音、无失真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◆配备迷你4针XLR连接头，适配领夹式、头戴式麦克风、吉他等多种信号输入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◆配备OLED高清显示屏，无视角限制，清晰显示频道、电池电量、供电档位等信息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◆具备红外线数据同步功能，可与接收机自动、精准对频，无需手动调节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◆高节能发射电路，采用5号（AA）电池供电，可持续使用5-10小时（根据供电档位调整）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◆头戴话筒采用单指向性设计，拾音精准，抗环境噪音干扰，拾音距离可调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◆头戴话筒佩戴舒适、轻便，重量≤30g，适合长时间佩戴使用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◆头戴话筒线材采用抗拉、抗缠绕、防弯折材质，具备防汗、防水特性，耐用性强</w:t>
            </w:r>
          </w:p>
        </w:tc>
        <w:tc>
          <w:tcPr>
            <w:tcW w:w="67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0FD13CD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套</w:t>
            </w:r>
          </w:p>
        </w:tc>
        <w:tc>
          <w:tcPr>
            <w:tcW w:w="67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52322C0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4</w:t>
            </w:r>
          </w:p>
        </w:tc>
      </w:tr>
      <w:tr w14:paraId="7B463BC7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7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D839B45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6</w:t>
            </w:r>
          </w:p>
        </w:tc>
        <w:tc>
          <w:tcPr>
            <w:tcW w:w="1644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A2491E3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时序器</w:t>
            </w:r>
          </w:p>
        </w:tc>
        <w:tc>
          <w:tcPr>
            <w:tcW w:w="484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5573996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◆≥8路电源输出通道，支持顺序开机、逆序关机，有效保护设备，延长使用寿命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◆最大输出电流≥30A，最大负载功率≥6KW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◆单路输出电流≥15A，单路负载功率≥3KW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◆输出插座采用万能型国标插座，适配多种规格插头，具备防触电、防松脱保护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◆支持RS232和RS485标准通信协议，可连接中控系统实现远程控制、智能操作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◆提供丰富指令集，支持定制化功能编程，满足不同使用场景的个性化需求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◆工作电压：AC220V/50~60Hz，具备过流、过压、短路、过载四重保护功能，使用安全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◆机身尺寸（长×宽×高）：480-485×265-275×45-50mm，适配19英寸标准机柜安装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◆单台净重≤5Kg，毛重≤6Kg，机身采用金属材质，坚固耐用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◆具备电源指示灯、通道工作指示灯，运行状态一目了然</w:t>
            </w:r>
          </w:p>
        </w:tc>
        <w:tc>
          <w:tcPr>
            <w:tcW w:w="67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F705BA3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台</w:t>
            </w:r>
          </w:p>
        </w:tc>
        <w:tc>
          <w:tcPr>
            <w:tcW w:w="67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99E1B3B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4</w:t>
            </w:r>
          </w:p>
        </w:tc>
      </w:tr>
      <w:tr w14:paraId="651648B4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7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A8411C5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7</w:t>
            </w:r>
          </w:p>
        </w:tc>
        <w:tc>
          <w:tcPr>
            <w:tcW w:w="1644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89F8E3C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音柱组合连接件</w:t>
            </w:r>
          </w:p>
        </w:tc>
        <w:tc>
          <w:tcPr>
            <w:tcW w:w="484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3C962AD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◆专用组合连接件，与所投铝合金音柱音箱完全适配，实现多音箱组合安装、固定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◆材质采用高强度金属/工程塑料，坚固耐用，承重能力≥10Kg，无变形、无松动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◆安装便捷，采用卡扣/螺丝双重固定方式，组合后无异响、无位移，稳定性强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◆表面经防锈、防刮处理，适配室内外多种安装环境</w:t>
            </w:r>
          </w:p>
        </w:tc>
        <w:tc>
          <w:tcPr>
            <w:tcW w:w="67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57F2085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件</w:t>
            </w:r>
          </w:p>
        </w:tc>
        <w:tc>
          <w:tcPr>
            <w:tcW w:w="67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A8D03E0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8</w:t>
            </w:r>
          </w:p>
        </w:tc>
      </w:tr>
      <w:tr w14:paraId="5A415E45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7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873A9D4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8</w:t>
            </w:r>
          </w:p>
        </w:tc>
        <w:tc>
          <w:tcPr>
            <w:tcW w:w="1644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83445C0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超低保护套</w:t>
            </w:r>
          </w:p>
        </w:tc>
        <w:tc>
          <w:tcPr>
            <w:tcW w:w="484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8942CD3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◆专用保护套，与所投12寸有源低音炮完全适配，精准贴合机身，无松动、无空隙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◆材质采用防水、防刮、防碰撞耐磨牛津布/橡胶材质，厚度≥3mm，防护性能佳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◆预留电源接口、接线口、散热孔位置，不影响设备正常使用、接线及散热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◆配备魔术贴/拉链设计，拆卸、安装便捷，边缘做包边处理，不易破损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◆具备防尘、防污、防轻微磕碰特性，保护设备外观及内部元件</w:t>
            </w:r>
          </w:p>
        </w:tc>
        <w:tc>
          <w:tcPr>
            <w:tcW w:w="67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86E76F7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件</w:t>
            </w:r>
          </w:p>
        </w:tc>
        <w:tc>
          <w:tcPr>
            <w:tcW w:w="67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EA48D9D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8</w:t>
            </w:r>
          </w:p>
        </w:tc>
      </w:tr>
      <w:tr w14:paraId="186B31CA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7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3199A9D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9</w:t>
            </w:r>
          </w:p>
        </w:tc>
        <w:tc>
          <w:tcPr>
            <w:tcW w:w="1644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61AA1C6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音柱保护套</w:t>
            </w:r>
          </w:p>
        </w:tc>
        <w:tc>
          <w:tcPr>
            <w:tcW w:w="484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34ACE61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◆专用保护套，与所投铝合金音柱音箱完全适配，精准贴合机身，适配组合安装状态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◆材质采用防水、防刮、防碰撞耐磨牛津布/橡胶材质，厚度≥2mm，轻便且防护性强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◆预留安装孔、接线口、出声口位置，不影响设备组合安装、信号传输及扩音效果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◆采用弹性收口/魔术贴设计，安装拆卸便捷，适配音柱悬挂/落地等多种安装方式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◆具备防尘、防污、防刮特性，保护音柱箱体及单元元件</w:t>
            </w:r>
          </w:p>
        </w:tc>
        <w:tc>
          <w:tcPr>
            <w:tcW w:w="67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AC54B39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件</w:t>
            </w:r>
          </w:p>
        </w:tc>
        <w:tc>
          <w:tcPr>
            <w:tcW w:w="67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BA89775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8</w:t>
            </w:r>
          </w:p>
        </w:tc>
      </w:tr>
      <w:tr w14:paraId="3E6B1295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7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82D7721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10</w:t>
            </w:r>
          </w:p>
        </w:tc>
        <w:tc>
          <w:tcPr>
            <w:tcW w:w="1644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EA35DED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支杆保护套</w:t>
            </w:r>
          </w:p>
        </w:tc>
        <w:tc>
          <w:tcPr>
            <w:tcW w:w="484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DE50D4B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◆专用保护套，与音柱/低音炮安装支杆完全适配，精准贴合支杆表面，无滑动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◆材质采用防滑、防刮、防碰撞EVA/橡胶材质，具备减震、缓冲防护性能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◆厚度≥5mm，耐磨、抗老化，适配室内外安装环境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◆安装便捷，采用开口式魔术贴设计，可根据支杆高度自由裁剪，不影响支杆高度调节和固定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◆有效防止支杆刮擦、生锈，同时避免支杆与设备接触产生异响</w:t>
            </w:r>
          </w:p>
        </w:tc>
        <w:tc>
          <w:tcPr>
            <w:tcW w:w="67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0A4C9FF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件</w:t>
            </w:r>
          </w:p>
        </w:tc>
        <w:tc>
          <w:tcPr>
            <w:tcW w:w="67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1662DBB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8</w:t>
            </w:r>
          </w:p>
        </w:tc>
      </w:tr>
      <w:tr w14:paraId="2913B77B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7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2D00384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11</w:t>
            </w:r>
          </w:p>
        </w:tc>
        <w:tc>
          <w:tcPr>
            <w:tcW w:w="1644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8CC6BE4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调音台机柜</w:t>
            </w:r>
          </w:p>
        </w:tc>
        <w:tc>
          <w:tcPr>
            <w:tcW w:w="484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5D9D8B1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◆定制化机柜，适配所投8路调音台安装使用，空间分配：前≥4U、后≥6U、上≥12U，预留充足操作及拓展空间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◆材质采用优质冷轧钢板，厚度≥0.8mm，表面经静电喷塑处理，抗腐蚀、抗刮擦、无掉漆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◆具备良好的通风散热设计，机柜顶部/背部配备散热孔/散热风扇，避免设备过热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◆预留多组接线口，位置合理，便于设备接线、理线，不影响操作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◆配备门锁及钥匙，具备防尘、防盗特性，机柜内配备防滑脚垫，放置稳定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◆内部配备固定支架、理线架，便于调音台及周边设备固定和线材整理，保持机柜整洁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◆适配落地/机柜堆叠安装方式，尺寸精准，安装后无晃动</w:t>
            </w:r>
          </w:p>
        </w:tc>
        <w:tc>
          <w:tcPr>
            <w:tcW w:w="67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72B84CF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件</w:t>
            </w:r>
          </w:p>
        </w:tc>
        <w:tc>
          <w:tcPr>
            <w:tcW w:w="67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E080D96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4</w:t>
            </w:r>
          </w:p>
        </w:tc>
      </w:tr>
      <w:tr w14:paraId="4AEA359A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7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737089D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12</w:t>
            </w:r>
          </w:p>
        </w:tc>
        <w:tc>
          <w:tcPr>
            <w:tcW w:w="1644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D3CF622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机柜（话筒专用）</w:t>
            </w:r>
          </w:p>
        </w:tc>
        <w:tc>
          <w:tcPr>
            <w:tcW w:w="484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8A051BC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◆3U标准机柜，适配所投无线话筒/头戴麦接收机安装使用，可同时安装≥2台接收机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◆材质采用优质冷轧钢板，厚度≥0.6mm，表面经静电喷塑处理，抗腐蚀、抗刮擦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◆具备通风散热设计，机柜正面/背部配备散热孔，保证接收机散热效果，避免信号受影响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◆预留接线口、天线穿出孔，位置合理，不影响信号传输及设备接线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◆配备门锁及钥匙，具备防尘、防盗特性，适配桌面/19英寸标准机柜安装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◆内部配备固定支架、理线架，便于接收机固定和线材整理，减少信号干扰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◆机身轻便，重量≤8Kg，便于搬运和安装</w:t>
            </w:r>
          </w:p>
        </w:tc>
        <w:tc>
          <w:tcPr>
            <w:tcW w:w="67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C65AFA1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件</w:t>
            </w:r>
          </w:p>
        </w:tc>
        <w:tc>
          <w:tcPr>
            <w:tcW w:w="67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1625857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4</w:t>
            </w:r>
          </w:p>
        </w:tc>
      </w:tr>
      <w:tr w14:paraId="6FDB60B6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7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5BC51BA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13</w:t>
            </w:r>
          </w:p>
        </w:tc>
        <w:tc>
          <w:tcPr>
            <w:tcW w:w="1644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E902097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信号线</w:t>
            </w:r>
          </w:p>
        </w:tc>
        <w:tc>
          <w:tcPr>
            <w:tcW w:w="484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33E82F3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◆话筒主机到调音台专用信号线，线长1米（±5cm），适配设备现场安装距离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◆采用高保真无氧铜芯，线芯规格≥2×0.5mm²，传输信号稳定、无衰减，音质无损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◆外层具备双层屏蔽层（编织屏蔽+铝箔屏蔽），抗电磁干扰、抗射频干扰能力强，无杂音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◆接头采用镀金工艺，接触良好，抗氧化、耐腐蚀，插拔便捷，不易松动、无接触不良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◆线材外皮采用环保PVC材质，具备抗拉、抗缠绕、防弯折特性，耐磨、耐低温、耐高温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◆线身柔软，便于整理和布置，适配室内多种布线场景</w:t>
            </w:r>
          </w:p>
        </w:tc>
        <w:tc>
          <w:tcPr>
            <w:tcW w:w="67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F057088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条</w:t>
            </w:r>
          </w:p>
        </w:tc>
        <w:tc>
          <w:tcPr>
            <w:tcW w:w="67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087B9FD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8</w:t>
            </w:r>
          </w:p>
        </w:tc>
      </w:tr>
      <w:tr w14:paraId="64093B15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67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0076396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14</w:t>
            </w:r>
          </w:p>
        </w:tc>
        <w:tc>
          <w:tcPr>
            <w:tcW w:w="1644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7F29756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安装调试</w:t>
            </w:r>
          </w:p>
        </w:tc>
        <w:tc>
          <w:tcPr>
            <w:tcW w:w="484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35812EB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◆包含本次采购所有设备（音箱、低音炮、调音台、话筒、时序器、机柜、配件、线材等）的现场卸货、搬运、定位、安装、接线、调试等全套服务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◆安装过程严格按照设备安装规范及现场环境要求施工，做到布线整洁、安装牢固、外观美观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◆调试后所有设备运行正常，音质清晰、无杂音、无失真，各设备间匹配良好、协同工作，满足项目实际扩音、拾音使用需求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◆对设备所有功能进行全面测试，确保各项参数达标、功能正常使用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◆提供设备操作、日常维护、简单故障排查等现场免费培训，培训时长≥2小时，确保使用方至少2名人员能独立操作和基本维护设备</w:t>
            </w:r>
            <w:r>
              <w:rPr>
                <w:rFonts w:ascii="Arial" w:hAnsi="Arial" w:eastAsia="等线" w:cs="Arial"/>
                <w:sz w:val="22"/>
              </w:rPr>
              <w:br w:type="textWrapping"/>
            </w:r>
            <w:r>
              <w:rPr>
                <w:rFonts w:ascii="Arial" w:hAnsi="Arial" w:eastAsia="等线" w:cs="Arial"/>
                <w:sz w:val="22"/>
              </w:rPr>
              <w:t>◆调试完成后提交完整的安装调试报告，包含设备安装图、接线图、测试数据、操作说明等</w:t>
            </w:r>
          </w:p>
        </w:tc>
        <w:tc>
          <w:tcPr>
            <w:tcW w:w="67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C380D00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left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项</w:t>
            </w:r>
          </w:p>
        </w:tc>
        <w:tc>
          <w:tcPr>
            <w:tcW w:w="677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84EE08D">
            <w:pPr>
              <w:keepNext/>
              <w:snapToGrid w:val="0"/>
              <w:spacing w:before="120" w:after="120" w:line="240" w:lineRule="auto"/>
              <w:ind w:left="0" w:leftChars="0" w:right="0" w:rightChars="0" w:firstLine="0" w:firstLineChars="0"/>
              <w:jc w:val="center"/>
              <w:rPr>
                <w:rFonts w:ascii="Arial" w:eastAsia="等线"/>
                <w:sz w:val="22"/>
              </w:rPr>
            </w:pPr>
            <w:r>
              <w:rPr>
                <w:rFonts w:ascii="Arial" w:hAnsi="Arial" w:eastAsia="等线" w:cs="Arial"/>
                <w:sz w:val="22"/>
              </w:rPr>
              <w:t>1</w:t>
            </w:r>
          </w:p>
        </w:tc>
      </w:tr>
    </w:tbl>
    <w:p w14:paraId="300A6D3D">
      <w:pPr>
        <w:pStyle w:val="3"/>
        <w:bidi w:val="0"/>
      </w:pPr>
      <w:bookmarkStart w:id="2" w:name="heading_2"/>
      <w:r>
        <w:t>音响设备技术参数响应表</w:t>
      </w:r>
      <w:bookmarkEnd w:id="2"/>
    </w:p>
    <w:tbl>
      <w:tblPr>
        <w:tblStyle w:val="86"/>
        <w:tblW w:w="0" w:type="auto"/>
        <w:tblInd w:w="0" w:type="dxa"/>
        <w:tblBorders>
          <w:top w:val="single" w:color="DEE0E3" w:sz="0" w:space="0"/>
          <w:left w:val="single" w:color="DEE0E3" w:sz="0" w:space="0"/>
          <w:bottom w:val="single" w:color="DEE0E3" w:sz="0" w:space="0"/>
          <w:right w:val="single" w:color="DEE0E3" w:sz="0" w:space="0"/>
          <w:insideH w:val="single" w:color="DEE0E3" w:sz="0" w:space="0"/>
          <w:insideV w:val="single" w:color="DEE0E3" w:sz="0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1380"/>
        <w:gridCol w:w="1380"/>
        <w:gridCol w:w="1380"/>
        <w:gridCol w:w="1380"/>
        <w:gridCol w:w="1380"/>
        <w:gridCol w:w="1380"/>
      </w:tblGrid>
      <w:tr w14:paraId="0BCEC385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1B3944B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序号</w:t>
            </w:r>
          </w:p>
        </w:tc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604261B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产品名称</w:t>
            </w:r>
          </w:p>
        </w:tc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CC5191F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采购需求技术参数</w:t>
            </w:r>
          </w:p>
        </w:tc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390CBF5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所投产品技术参数</w:t>
            </w:r>
          </w:p>
        </w:tc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6AAF4D2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参数是否满足（≥/＝/＜）</w:t>
            </w:r>
          </w:p>
        </w:tc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37DB110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备注</w:t>
            </w:r>
          </w:p>
        </w:tc>
      </w:tr>
      <w:tr w14:paraId="6A7B5EE9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E614192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1</w:t>
            </w:r>
          </w:p>
        </w:tc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E305394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铝合金音柱音箱</w:t>
            </w:r>
          </w:p>
        </w:tc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D2CC2DF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4×3.5"音柱式设计，全铝合金箱体；额定功率≥180W，最大功率≥320W；灵敏度(1w/s)≥95 dB；最大声压级≥130dB Peak(@1m)；频响范围140Hz～20kHz（±3dB）；投射角度40°×140°（±5°）；阻抗8 Ohms（±1Ω）；重量≤5kg；尺寸100-110×180-190×790-810mm</w:t>
            </w:r>
          </w:p>
        </w:tc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334B206">
            <w:pPr>
              <w:spacing w:before="120" w:after="120" w:line="288" w:lineRule="auto"/>
              <w:ind w:left="0"/>
              <w:jc w:val="left"/>
            </w:pPr>
          </w:p>
        </w:tc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589CD3A">
            <w:pPr>
              <w:spacing w:before="120" w:after="120" w:line="288" w:lineRule="auto"/>
              <w:ind w:left="0"/>
              <w:jc w:val="left"/>
            </w:pPr>
          </w:p>
        </w:tc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ACDA2A1">
            <w:pPr>
              <w:spacing w:before="120" w:after="120" w:line="288" w:lineRule="auto"/>
              <w:ind w:left="0"/>
              <w:jc w:val="left"/>
            </w:pPr>
          </w:p>
        </w:tc>
      </w:tr>
      <w:tr w14:paraId="2C478A9D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796BE70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2</w:t>
            </w:r>
          </w:p>
        </w:tc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9CA2323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12寸有源低音炮</w:t>
            </w:r>
          </w:p>
        </w:tc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5B6474F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单12″有源；内置一进三出DSP；额定功率≥350W，最大功率≥700W；灵敏度≥97dB；最大声压级≥123dB；频响范围38Hz～250Hz(±3dB)；内置功放总功率≥2000W；失真度﹤0.05%；阻尼系数≥400；宽电压190V～240V；紧锁式电源接口；重量≤22kg；尺寸360-370×440-460×620-630mm</w:t>
            </w:r>
          </w:p>
        </w:tc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B3251EB">
            <w:pPr>
              <w:spacing w:before="120" w:after="120" w:line="288" w:lineRule="auto"/>
              <w:ind w:left="0"/>
              <w:jc w:val="left"/>
            </w:pPr>
          </w:p>
        </w:tc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2D00ACB">
            <w:pPr>
              <w:spacing w:before="120" w:after="120" w:line="288" w:lineRule="auto"/>
              <w:ind w:left="0"/>
              <w:jc w:val="left"/>
            </w:pPr>
          </w:p>
        </w:tc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E63BC01">
            <w:pPr>
              <w:spacing w:before="120" w:after="120" w:line="288" w:lineRule="auto"/>
              <w:ind w:left="0"/>
              <w:jc w:val="left"/>
            </w:pPr>
          </w:p>
        </w:tc>
      </w:tr>
      <w:tr w14:paraId="3E483C13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6F1CBD0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3</w:t>
            </w:r>
          </w:p>
        </w:tc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114AD44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调音台（8路）</w:t>
            </w:r>
          </w:p>
        </w:tc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BAE47D3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8路通道；频率响应20 HZ~20 KHZ(+1，-3 db)；总谐波失真&lt;%1；等效输入噪音≤-110 dBm；话放增益≥60dB；效果器24-BIT及以上、效果≥32种、采样≥48KHZ；整机功率≤40W；宽电压设计；尺寸60-62×40-41×11-13cm</w:t>
            </w:r>
          </w:p>
        </w:tc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C5AAEC9">
            <w:pPr>
              <w:spacing w:before="120" w:after="120" w:line="288" w:lineRule="auto"/>
              <w:ind w:left="0"/>
              <w:jc w:val="left"/>
            </w:pPr>
          </w:p>
        </w:tc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911BD97">
            <w:pPr>
              <w:spacing w:before="120" w:after="120" w:line="288" w:lineRule="auto"/>
              <w:ind w:left="0"/>
              <w:jc w:val="left"/>
            </w:pPr>
          </w:p>
        </w:tc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A546B2A">
            <w:pPr>
              <w:spacing w:before="120" w:after="120" w:line="288" w:lineRule="auto"/>
              <w:ind w:left="0"/>
              <w:jc w:val="left"/>
            </w:pPr>
          </w:p>
        </w:tc>
      </w:tr>
      <w:tr w14:paraId="6DDFDB64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929B2AE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4</w:t>
            </w:r>
          </w:p>
        </w:tc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1F854FB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一拖二无线手持话筒</w:t>
            </w:r>
          </w:p>
        </w:tc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372CABE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主动分集双通道；接收频段640-690MHz；有效接收≥50米；叠机通道≥80个；OLED屏；红外对频；电池使用≥10小时；金属机身；咪头可更换；无断音、抗干扰</w:t>
            </w:r>
          </w:p>
        </w:tc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0DF74D2">
            <w:pPr>
              <w:spacing w:before="120" w:after="120" w:line="288" w:lineRule="auto"/>
              <w:ind w:left="0"/>
              <w:jc w:val="left"/>
            </w:pPr>
          </w:p>
        </w:tc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AD33CEC">
            <w:pPr>
              <w:spacing w:before="120" w:after="120" w:line="288" w:lineRule="auto"/>
              <w:ind w:left="0"/>
              <w:jc w:val="left"/>
            </w:pPr>
          </w:p>
        </w:tc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2C05A52">
            <w:pPr>
              <w:spacing w:before="120" w:after="120" w:line="288" w:lineRule="auto"/>
              <w:ind w:left="0"/>
              <w:jc w:val="left"/>
            </w:pPr>
          </w:p>
        </w:tc>
      </w:tr>
      <w:tr w14:paraId="5FF57716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93BF8BC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5</w:t>
            </w:r>
          </w:p>
        </w:tc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D047734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头戴麦</w:t>
            </w:r>
          </w:p>
        </w:tc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DC6E9E6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接收机与4项一致；腰包发射机多档位供电；迷你4针XLR接口；OLED屏；红外对频；电池使用5-10小时；单指向头戴麦；佩戴轻便；防汗防水线材</w:t>
            </w:r>
          </w:p>
        </w:tc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3E6652F">
            <w:pPr>
              <w:spacing w:before="120" w:after="120" w:line="288" w:lineRule="auto"/>
              <w:ind w:left="0"/>
              <w:jc w:val="left"/>
            </w:pPr>
          </w:p>
        </w:tc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D50BE10">
            <w:pPr>
              <w:spacing w:before="120" w:after="120" w:line="288" w:lineRule="auto"/>
              <w:ind w:left="0"/>
              <w:jc w:val="left"/>
            </w:pPr>
          </w:p>
        </w:tc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66FF71B">
            <w:pPr>
              <w:spacing w:before="120" w:after="120" w:line="288" w:lineRule="auto"/>
              <w:ind w:left="0"/>
              <w:jc w:val="left"/>
            </w:pPr>
          </w:p>
        </w:tc>
      </w:tr>
      <w:tr w14:paraId="5F208FC7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EA77A07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6</w:t>
            </w:r>
          </w:p>
        </w:tc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E1A88F9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时序器</w:t>
            </w:r>
          </w:p>
        </w:tc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EB7242A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≥8路输出；最大电流≥30A，总功率≥6KW；单路≥15A/3KW；万能插座；支持RS232/RS485；四重保护；标准机柜安装；尺寸480-485×265-275×45-50mm</w:t>
            </w:r>
          </w:p>
        </w:tc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4C4DA3F">
            <w:pPr>
              <w:spacing w:before="120" w:after="120" w:line="288" w:lineRule="auto"/>
              <w:ind w:left="0"/>
              <w:jc w:val="left"/>
            </w:pPr>
          </w:p>
        </w:tc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26D62DD">
            <w:pPr>
              <w:spacing w:before="120" w:after="120" w:line="288" w:lineRule="auto"/>
              <w:ind w:left="0"/>
              <w:jc w:val="left"/>
            </w:pPr>
          </w:p>
        </w:tc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37B3BDB">
            <w:pPr>
              <w:spacing w:before="120" w:after="120" w:line="288" w:lineRule="auto"/>
              <w:ind w:left="0"/>
              <w:jc w:val="left"/>
            </w:pPr>
          </w:p>
        </w:tc>
      </w:tr>
      <w:tr w14:paraId="4A6E0511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DD71A1B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7</w:t>
            </w:r>
          </w:p>
        </w:tc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F281A27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音柱组合连接件</w:t>
            </w:r>
          </w:p>
        </w:tc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05DC186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与音柱完全适配；高强度材质；承重≥10Kg；安装便捷；无松动、无异响</w:t>
            </w:r>
          </w:p>
        </w:tc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EA93865">
            <w:pPr>
              <w:spacing w:before="120" w:after="120" w:line="288" w:lineRule="auto"/>
              <w:ind w:left="0"/>
              <w:jc w:val="left"/>
            </w:pPr>
          </w:p>
        </w:tc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4C6E511">
            <w:pPr>
              <w:spacing w:before="120" w:after="120" w:line="288" w:lineRule="auto"/>
              <w:ind w:left="0"/>
              <w:jc w:val="left"/>
            </w:pPr>
          </w:p>
        </w:tc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8EC8B86">
            <w:pPr>
              <w:spacing w:before="120" w:after="120" w:line="288" w:lineRule="auto"/>
              <w:ind w:left="0"/>
              <w:jc w:val="left"/>
            </w:pPr>
          </w:p>
        </w:tc>
      </w:tr>
      <w:tr w14:paraId="77E846BF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7E2BA0C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8</w:t>
            </w:r>
          </w:p>
        </w:tc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ADF9955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超低保护套</w:t>
            </w:r>
          </w:p>
        </w:tc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2D7CB7B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与低音炮完全适配；防水防刮耐磨；预留接口/散热孔；拆卸便捷；防护性强</w:t>
            </w:r>
          </w:p>
        </w:tc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3FA6D36">
            <w:pPr>
              <w:spacing w:before="120" w:after="120" w:line="288" w:lineRule="auto"/>
              <w:ind w:left="0"/>
              <w:jc w:val="left"/>
            </w:pPr>
          </w:p>
        </w:tc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C3C2D74">
            <w:pPr>
              <w:spacing w:before="120" w:after="120" w:line="288" w:lineRule="auto"/>
              <w:ind w:left="0"/>
              <w:jc w:val="left"/>
            </w:pPr>
          </w:p>
        </w:tc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6A2FFE5">
            <w:pPr>
              <w:spacing w:before="120" w:after="120" w:line="288" w:lineRule="auto"/>
              <w:ind w:left="0"/>
              <w:jc w:val="left"/>
            </w:pPr>
          </w:p>
        </w:tc>
      </w:tr>
      <w:tr w14:paraId="6B5FE0FB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99BAAFE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9</w:t>
            </w:r>
          </w:p>
        </w:tc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2F601B9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音柱保护套</w:t>
            </w:r>
          </w:p>
        </w:tc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2A0A5D4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与音柱完全适配；防水防刮；预留安装/接线/出声口；适配组合安装；轻便耐用</w:t>
            </w:r>
          </w:p>
        </w:tc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F6DDFA4">
            <w:pPr>
              <w:spacing w:before="120" w:after="120" w:line="288" w:lineRule="auto"/>
              <w:ind w:left="0"/>
              <w:jc w:val="left"/>
            </w:pPr>
          </w:p>
        </w:tc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4F517EF">
            <w:pPr>
              <w:spacing w:before="120" w:after="120" w:line="288" w:lineRule="auto"/>
              <w:ind w:left="0"/>
              <w:jc w:val="left"/>
            </w:pPr>
          </w:p>
        </w:tc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583BA50">
            <w:pPr>
              <w:spacing w:before="120" w:after="120" w:line="288" w:lineRule="auto"/>
              <w:ind w:left="0"/>
              <w:jc w:val="left"/>
            </w:pPr>
          </w:p>
        </w:tc>
      </w:tr>
      <w:tr w14:paraId="339AEAD2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ED30B6E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10</w:t>
            </w:r>
          </w:p>
        </w:tc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56E35A7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支杆保护套</w:t>
            </w:r>
          </w:p>
        </w:tc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59ED971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与支杆完全适配；防滑减震；厚度≥5mm；安装便捷；可自由裁剪</w:t>
            </w:r>
          </w:p>
        </w:tc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B1D828E">
            <w:pPr>
              <w:spacing w:before="120" w:after="120" w:line="288" w:lineRule="auto"/>
              <w:ind w:left="0"/>
              <w:jc w:val="left"/>
            </w:pPr>
          </w:p>
        </w:tc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ECB3C4F">
            <w:pPr>
              <w:spacing w:before="120" w:after="120" w:line="288" w:lineRule="auto"/>
              <w:ind w:left="0"/>
              <w:jc w:val="left"/>
            </w:pPr>
          </w:p>
        </w:tc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0C2634F">
            <w:pPr>
              <w:spacing w:before="120" w:after="120" w:line="288" w:lineRule="auto"/>
              <w:ind w:left="0"/>
              <w:jc w:val="left"/>
            </w:pPr>
          </w:p>
        </w:tc>
      </w:tr>
      <w:tr w14:paraId="3A02A626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13D73B2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11</w:t>
            </w:r>
          </w:p>
        </w:tc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0E668C9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调音台机柜</w:t>
            </w:r>
          </w:p>
        </w:tc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239D956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前≥4U、后≥6U、上≥12U；冷轧钢板≥0.8mm；静电喷塑；通风散热；预留接线口；带门锁；含固定/理线架</w:t>
            </w:r>
          </w:p>
        </w:tc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3604D9C">
            <w:pPr>
              <w:spacing w:before="120" w:after="120" w:line="288" w:lineRule="auto"/>
              <w:ind w:left="0"/>
              <w:jc w:val="left"/>
            </w:pPr>
          </w:p>
        </w:tc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BA24989">
            <w:pPr>
              <w:spacing w:before="120" w:after="120" w:line="288" w:lineRule="auto"/>
              <w:ind w:left="0"/>
              <w:jc w:val="left"/>
            </w:pPr>
          </w:p>
        </w:tc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462B074">
            <w:pPr>
              <w:spacing w:before="120" w:after="120" w:line="288" w:lineRule="auto"/>
              <w:ind w:left="0"/>
              <w:jc w:val="left"/>
            </w:pPr>
          </w:p>
        </w:tc>
      </w:tr>
      <w:tr w14:paraId="0115F948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6D469F2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12</w:t>
            </w:r>
          </w:p>
        </w:tc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977B1E4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话筒机柜</w:t>
            </w:r>
          </w:p>
        </w:tc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A0FFC2A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3U标准；冷轧钢板≥0.6mm；静电喷塑；通风散热；预留接线/天线孔；带门锁；含固定/理线架</w:t>
            </w:r>
          </w:p>
        </w:tc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7AA17E1">
            <w:pPr>
              <w:spacing w:before="120" w:after="120" w:line="288" w:lineRule="auto"/>
              <w:ind w:left="0"/>
              <w:jc w:val="left"/>
            </w:pPr>
          </w:p>
        </w:tc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A2DB6EF">
            <w:pPr>
              <w:spacing w:before="120" w:after="120" w:line="288" w:lineRule="auto"/>
              <w:ind w:left="0"/>
              <w:jc w:val="left"/>
            </w:pPr>
          </w:p>
        </w:tc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C593BAC">
            <w:pPr>
              <w:spacing w:before="120" w:after="120" w:line="288" w:lineRule="auto"/>
              <w:ind w:left="0"/>
              <w:jc w:val="left"/>
            </w:pPr>
          </w:p>
        </w:tc>
      </w:tr>
      <w:tr w14:paraId="503EBCF3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49BDC78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13</w:t>
            </w:r>
          </w:p>
        </w:tc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81CDAA2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信号线</w:t>
            </w:r>
          </w:p>
        </w:tc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18BE0C3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1米（±5cm）；无氧铜芯≥2×0.5mm²；双层屏蔽；镀金接头；抗拉抗缠绕；环保PVC外皮</w:t>
            </w:r>
          </w:p>
        </w:tc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6378E2D">
            <w:pPr>
              <w:spacing w:before="120" w:after="120" w:line="288" w:lineRule="auto"/>
              <w:ind w:left="0"/>
              <w:jc w:val="left"/>
            </w:pPr>
          </w:p>
        </w:tc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02D8D8C">
            <w:pPr>
              <w:spacing w:before="120" w:after="120" w:line="288" w:lineRule="auto"/>
              <w:ind w:left="0"/>
              <w:jc w:val="left"/>
            </w:pPr>
          </w:p>
        </w:tc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0A01125">
            <w:pPr>
              <w:spacing w:before="120" w:after="120" w:line="288" w:lineRule="auto"/>
              <w:ind w:left="0"/>
              <w:jc w:val="left"/>
            </w:pPr>
          </w:p>
        </w:tc>
      </w:tr>
      <w:tr w14:paraId="64F2CAE5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F3925D4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14</w:t>
            </w:r>
          </w:p>
        </w:tc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5C576C1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安装调试</w:t>
            </w:r>
          </w:p>
        </w:tc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E98DD42">
            <w:pPr>
              <w:spacing w:before="120" w:after="120" w:line="288" w:lineRule="auto"/>
              <w:ind w:left="0"/>
              <w:jc w:val="left"/>
            </w:pPr>
            <w:r>
              <w:rPr>
                <w:rFonts w:ascii="Arial" w:hAnsi="Arial" w:eastAsia="等线" w:cs="Arial"/>
                <w:sz w:val="22"/>
              </w:rPr>
              <w:t>含全套设备卸货、安装、接线、调试；培训≥2小时；提交安装调试报告；质保≥1年，2小时响应24小时到场</w:t>
            </w:r>
          </w:p>
        </w:tc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88560AD">
            <w:pPr>
              <w:spacing w:before="120" w:after="120" w:line="288" w:lineRule="auto"/>
              <w:ind w:left="0"/>
              <w:jc w:val="left"/>
            </w:pPr>
          </w:p>
        </w:tc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2F223A6">
            <w:pPr>
              <w:spacing w:before="120" w:after="120" w:line="288" w:lineRule="auto"/>
              <w:ind w:left="0"/>
              <w:jc w:val="left"/>
            </w:pPr>
          </w:p>
        </w:tc>
        <w:tc>
          <w:tcPr>
            <w:tcW w:w="1380" w:type="dxa"/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D064447">
            <w:pPr>
              <w:spacing w:before="120" w:after="120" w:line="288" w:lineRule="auto"/>
              <w:ind w:left="0"/>
              <w:jc w:val="left"/>
            </w:pPr>
          </w:p>
        </w:tc>
      </w:tr>
    </w:tbl>
    <w:p w14:paraId="3AEE7CFD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填表说明</w:t>
      </w:r>
      <w:r>
        <w:rPr>
          <w:rFonts w:ascii="Arial" w:hAnsi="Arial" w:eastAsia="等线" w:cs="Arial"/>
          <w:sz w:val="22"/>
        </w:rPr>
        <w:t>：</w:t>
      </w:r>
    </w:p>
    <w:p w14:paraId="2FE6D319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1. 此表需由供应商如实填报，所投产品技术参数需准确对应采购需求，不得漏填、虚报；</w:t>
      </w:r>
    </w:p>
    <w:p w14:paraId="3FA1D890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2. “参数是否满足”栏需明确标注“≥”（优于需求）、“＝”（等于需求）、“＜”（低于需求），低于需求的参数将视为无效投标；</w:t>
      </w:r>
    </w:p>
    <w:p w14:paraId="32A52920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3. 备注栏可填写所投产品品牌、型号、核心优势、配套服务等相关信息；</w:t>
      </w:r>
    </w:p>
    <w:p w14:paraId="1654DB34">
      <w:pPr>
        <w:spacing w:before="120" w:after="120" w:line="288" w:lineRule="auto"/>
        <w:ind w:left="0"/>
        <w:jc w:val="left"/>
        <w:rPr>
          <w:rFonts w:hint="eastAsia" w:eastAsia="宋体"/>
          <w:lang w:val="en-US" w:eastAsia="zh-CN"/>
        </w:rPr>
      </w:pPr>
      <w:r>
        <w:rPr>
          <w:rFonts w:ascii="Arial" w:hAnsi="Arial" w:eastAsia="等线" w:cs="Arial"/>
          <w:sz w:val="22"/>
        </w:rPr>
        <w:t>4. 供应商需在本表加盖公章，随投标文件一并提交。</w:t>
      </w:r>
    </w:p>
    <w:sectPr>
      <w:headerReference r:id="rId5" w:type="default"/>
      <w:footerReference r:id="rId6" w:type="default"/>
      <w:pgSz w:w="11905" w:h="1684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汉仪润圆-65简">
    <w:altName w:val="宋体"/>
    <w:panose1 w:val="00020600040101010101"/>
    <w:charset w:val="86"/>
    <w:family w:val="roman"/>
    <w:pitch w:val="default"/>
    <w:sig w:usb0="00000000" w:usb1="00000000" w:usb2="00000016" w:usb3="00000000" w:csb0="0004009F" w:csb1="DFD7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AE6600E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480"/>
      </w:pPr>
      <w:r>
        <w:separator/>
      </w:r>
    </w:p>
  </w:footnote>
  <w:footnote w:type="continuationSeparator" w:id="1">
    <w:p>
      <w:pPr>
        <w:spacing w:line="360" w:lineRule="auto"/>
        <w:ind w:firstLine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7EEEE71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F071053"/>
    <w:multiLevelType w:val="multilevel"/>
    <w:tmpl w:val="AF071053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 w:tentative="0">
      <w:start w:val="1"/>
      <w:numFmt w:val="decimal"/>
      <w:pStyle w:val="14"/>
      <w:lvlText w:val="%1.%2."/>
      <w:lvlJc w:val="left"/>
      <w:pPr>
        <w:ind w:left="850" w:hanging="453"/>
      </w:pPr>
    </w:lvl>
    <w:lvl w:ilvl="2" w:tentative="0">
      <w:start w:val="1"/>
      <w:numFmt w:val="decimal"/>
      <w:lvlText w:val="%1.%2.%3."/>
      <w:lvlJc w:val="left"/>
      <w:pPr>
        <w:ind w:left="1508" w:hanging="708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2053" w:hanging="853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2495" w:hanging="895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3136" w:hanging="1136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3673" w:hanging="1273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4218" w:hanging="1418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4648" w:hanging="1448"/>
      </w:pPr>
      <w:rPr>
        <w:rFonts w:hint="default"/>
      </w:rPr>
    </w:lvl>
  </w:abstractNum>
  <w:abstractNum w:abstractNumId="1">
    <w:nsid w:val="B2637A3F"/>
    <w:multiLevelType w:val="singleLevel"/>
    <w:tmpl w:val="B2637A3F"/>
    <w:lvl w:ilvl="0" w:tentative="0">
      <w:start w:val="1"/>
      <w:numFmt w:val="bullet"/>
      <w:pStyle w:val="40"/>
      <w:suff w:val="space"/>
      <w:lvlText w:val="■"/>
      <w:lvlJc w:val="left"/>
      <w:pPr>
        <w:tabs>
          <w:tab w:val="left" w:pos="420"/>
        </w:tabs>
        <w:ind w:left="420" w:hanging="420"/>
      </w:pPr>
    </w:lvl>
  </w:abstractNum>
  <w:abstractNum w:abstractNumId="2">
    <w:nsid w:val="D14CACD2"/>
    <w:multiLevelType w:val="singleLevel"/>
    <w:tmpl w:val="D14CACD2"/>
    <w:lvl w:ilvl="0" w:tentative="0">
      <w:start w:val="1"/>
      <w:numFmt w:val="bullet"/>
      <w:pStyle w:val="45"/>
      <w:lvlText w:val="∙"/>
      <w:lvlJc w:val="left"/>
      <w:pPr>
        <w:ind w:left="420" w:hanging="420"/>
      </w:pPr>
    </w:lvl>
  </w:abstractNum>
  <w:abstractNum w:abstractNumId="3">
    <w:nsid w:val="FC35626E"/>
    <w:multiLevelType w:val="multilevel"/>
    <w:tmpl w:val="FC35626E"/>
    <w:lvl w:ilvl="0" w:tentative="0">
      <w:start w:val="1"/>
      <w:numFmt w:val="decimal"/>
      <w:pStyle w:val="20"/>
      <w:lvlText w:val="%1."/>
      <w:lvlJc w:val="left"/>
      <w:pPr>
        <w:ind w:left="425" w:hanging="425"/>
      </w:pPr>
    </w:lvl>
    <w:lvl w:ilvl="1" w:tentative="0">
      <w:start w:val="1"/>
      <w:numFmt w:val="decimal"/>
      <w:lvlText w:val="%1.%2."/>
      <w:lvlJc w:val="left"/>
      <w:pPr>
        <w:ind w:left="850" w:hanging="453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1508" w:hanging="708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2053" w:hanging="853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2495" w:hanging="895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3136" w:hanging="1136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3673" w:hanging="1273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4218" w:hanging="1418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4648" w:hanging="1448"/>
      </w:pPr>
      <w:rPr>
        <w:rFonts w:hint="default"/>
      </w:rPr>
    </w:lvl>
  </w:abstractNum>
  <w:abstractNum w:abstractNumId="4">
    <w:nsid w:val="FD010157"/>
    <w:multiLevelType w:val="singleLevel"/>
    <w:tmpl w:val="FD010157"/>
    <w:lvl w:ilvl="0" w:tentative="0">
      <w:start w:val="1"/>
      <w:numFmt w:val="bullet"/>
      <w:pStyle w:val="33"/>
      <w:lvlText w:val="□"/>
      <w:lvlJc w:val="left"/>
      <w:pPr>
        <w:ind w:left="420" w:hanging="420"/>
      </w:pPr>
    </w:lvl>
  </w:abstractNum>
  <w:abstractNum w:abstractNumId="5">
    <w:nsid w:val="1DC13C4D"/>
    <w:multiLevelType w:val="multilevel"/>
    <w:tmpl w:val="1DC13C4D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ind w:left="850" w:hanging="453"/>
      </w:pPr>
      <w:rPr>
        <w:rFonts w:hint="default"/>
      </w:rPr>
    </w:lvl>
    <w:lvl w:ilvl="2" w:tentative="0">
      <w:start w:val="1"/>
      <w:numFmt w:val="decimal"/>
      <w:pStyle w:val="36"/>
      <w:lvlText w:val="%1.%2.%3."/>
      <w:lvlJc w:val="left"/>
      <w:pPr>
        <w:ind w:left="1508" w:hanging="708"/>
      </w:pPr>
    </w:lvl>
    <w:lvl w:ilvl="3" w:tentative="0">
      <w:start w:val="1"/>
      <w:numFmt w:val="decimal"/>
      <w:lvlText w:val="%1.%2.%3.%4."/>
      <w:lvlJc w:val="left"/>
      <w:pPr>
        <w:ind w:left="2053" w:hanging="853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2495" w:hanging="895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3136" w:hanging="1136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3673" w:hanging="1273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4218" w:hanging="1418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4648" w:hanging="1448"/>
      </w:pPr>
      <w:rPr>
        <w:rFonts w:hint="default"/>
      </w:rPr>
    </w:lvl>
  </w:abstractNum>
  <w:abstractNum w:abstractNumId="6">
    <w:nsid w:val="20397F5C"/>
    <w:multiLevelType w:val="multilevel"/>
    <w:tmpl w:val="20397F5C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ind w:left="850" w:hanging="453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1508" w:hanging="708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2053" w:hanging="853"/>
      </w:pPr>
      <w:rPr>
        <w:rFonts w:hint="default"/>
      </w:rPr>
    </w:lvl>
    <w:lvl w:ilvl="4" w:tentative="0">
      <w:start w:val="1"/>
      <w:numFmt w:val="decimal"/>
      <w:pStyle w:val="64"/>
      <w:lvlText w:val="%1.%2.%3.%4.%5."/>
      <w:lvlJc w:val="left"/>
      <w:pPr>
        <w:ind w:left="2495" w:hanging="895"/>
      </w:pPr>
    </w:lvl>
    <w:lvl w:ilvl="5" w:tentative="0">
      <w:start w:val="1"/>
      <w:numFmt w:val="decimal"/>
      <w:lvlText w:val="%1.%2.%3.%4.%5.%6."/>
      <w:lvlJc w:val="left"/>
      <w:pPr>
        <w:ind w:left="3136" w:hanging="1136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3673" w:hanging="1273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4218" w:hanging="1418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4648" w:hanging="1448"/>
      </w:pPr>
      <w:rPr>
        <w:rFonts w:hint="default"/>
      </w:rPr>
    </w:lvl>
  </w:abstractNum>
  <w:abstractNum w:abstractNumId="7">
    <w:nsid w:val="50B2DDCD"/>
    <w:multiLevelType w:val="singleLevel"/>
    <w:tmpl w:val="50B2DDCD"/>
    <w:lvl w:ilvl="0" w:tentative="0">
      <w:start w:val="1"/>
      <w:numFmt w:val="bullet"/>
      <w:pStyle w:val="24"/>
      <w:lvlText w:val=""/>
      <w:lvlJc w:val="left"/>
      <w:pPr>
        <w:ind w:left="420" w:hanging="420"/>
      </w:pPr>
    </w:lvl>
  </w:abstractNum>
  <w:abstractNum w:abstractNumId="8">
    <w:nsid w:val="59008784"/>
    <w:multiLevelType w:val="singleLevel"/>
    <w:tmpl w:val="59008784"/>
    <w:lvl w:ilvl="0" w:tentative="0">
      <w:start w:val="1"/>
      <w:numFmt w:val="bullet"/>
      <w:pStyle w:val="17"/>
      <w:lvlText w:val="▫"/>
      <w:lvlJc w:val="left"/>
      <w:pPr>
        <w:ind w:left="420" w:hanging="420"/>
      </w:pPr>
    </w:lvl>
  </w:abstractNum>
  <w:abstractNum w:abstractNumId="9">
    <w:nsid w:val="690C6B7B"/>
    <w:multiLevelType w:val="multilevel"/>
    <w:tmpl w:val="690C6B7B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ind w:left="850" w:hanging="453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1508" w:hanging="708"/>
      </w:pPr>
      <w:rPr>
        <w:rFonts w:hint="default"/>
      </w:rPr>
    </w:lvl>
    <w:lvl w:ilvl="3" w:tentative="0">
      <w:start w:val="1"/>
      <w:numFmt w:val="decimal"/>
      <w:pStyle w:val="46"/>
      <w:lvlText w:val="%1.%2.%3.%4."/>
      <w:lvlJc w:val="left"/>
      <w:pPr>
        <w:ind w:left="2053" w:hanging="853"/>
      </w:pPr>
    </w:lvl>
    <w:lvl w:ilvl="4" w:tentative="0">
      <w:start w:val="1"/>
      <w:numFmt w:val="decimal"/>
      <w:lvlText w:val="%1.%2.%3.%4.%5."/>
      <w:lvlJc w:val="left"/>
      <w:pPr>
        <w:ind w:left="2495" w:hanging="895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3136" w:hanging="1136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3673" w:hanging="1273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4218" w:hanging="1418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4648" w:hanging="1448"/>
      </w:pPr>
      <w:rPr>
        <w:rFonts w:hint="default"/>
      </w:rPr>
    </w:lvl>
  </w:abstractNum>
  <w:abstractNum w:abstractNumId="10">
    <w:nsid w:val="7D5C2249"/>
    <w:multiLevelType w:val="multilevel"/>
    <w:tmpl w:val="7D5C2249"/>
    <w:lvl w:ilvl="0" w:tentative="0">
      <w:start w:val="1"/>
      <w:numFmt w:val="chineseCounting"/>
      <w:pStyle w:val="3"/>
      <w:suff w:val="nothing"/>
      <w:lvlText w:val="第%1章 "/>
      <w:lvlJc w:val="left"/>
      <w:pPr>
        <w:ind w:left="0" w:firstLine="0"/>
      </w:pPr>
      <w:rPr>
        <w:rFonts w:hint="eastAsia"/>
      </w:rPr>
    </w:lvl>
    <w:lvl w:ilvl="1" w:tentative="0">
      <w:start w:val="1"/>
      <w:numFmt w:val="chineseCounting"/>
      <w:pStyle w:val="4"/>
      <w:suff w:val="space"/>
      <w:lvlText w:val="第%2节"/>
      <w:lvlJc w:val="left"/>
      <w:pPr>
        <w:ind w:left="0" w:firstLine="0"/>
      </w:pPr>
      <w:rPr>
        <w:rFonts w:hint="eastAsia"/>
      </w:rPr>
    </w:lvl>
    <w:lvl w:ilvl="2" w:tentative="0">
      <w:start w:val="1"/>
      <w:numFmt w:val="chineseCounting"/>
      <w:pStyle w:val="5"/>
      <w:suff w:val="nothing"/>
      <w:lvlText w:val="%3、"/>
      <w:lvlJc w:val="left"/>
      <w:pPr>
        <w:ind w:left="0" w:firstLine="0"/>
      </w:pPr>
      <w:rPr>
        <w:rFonts w:hint="eastAsia"/>
      </w:rPr>
    </w:lvl>
    <w:lvl w:ilvl="3" w:tentative="0">
      <w:start w:val="1"/>
      <w:numFmt w:val="decimal"/>
      <w:pStyle w:val="6"/>
      <w:suff w:val="nothing"/>
      <w:lvlText w:val="%4."/>
      <w:lvlJc w:val="left"/>
      <w:pPr>
        <w:ind w:left="0" w:firstLine="0"/>
      </w:pPr>
      <w:rPr>
        <w:rFonts w:hint="eastAsia"/>
      </w:rPr>
    </w:lvl>
    <w:lvl w:ilvl="4" w:tentative="0">
      <w:start w:val="1"/>
      <w:numFmt w:val="decimal"/>
      <w:pStyle w:val="7"/>
      <w:suff w:val="nothing"/>
      <w:lvlText w:val="(%5)"/>
      <w:lvlJc w:val="left"/>
      <w:pPr>
        <w:ind w:left="0" w:firstLine="0"/>
      </w:pPr>
      <w:rPr>
        <w:rFonts w:hint="eastAsia"/>
      </w:rPr>
    </w:lvl>
    <w:lvl w:ilvl="5" w:tentative="0">
      <w:start w:val="1"/>
      <w:numFmt w:val="decimal"/>
      <w:pStyle w:val="8"/>
      <w:suff w:val="nothing"/>
      <w:lvlText w:val="%6）"/>
      <w:lvlJc w:val="left"/>
      <w:pPr>
        <w:ind w:left="0" w:firstLine="0"/>
      </w:pPr>
      <w:rPr>
        <w:rFonts w:hint="eastAsia"/>
      </w:rPr>
    </w:lvl>
    <w:lvl w:ilvl="6" w:tentative="0">
      <w:start w:val="1"/>
      <w:numFmt w:val="lowerLetter"/>
      <w:pStyle w:val="9"/>
      <w:suff w:val="nothing"/>
      <w:lvlText w:val="%7．"/>
      <w:lvlJc w:val="left"/>
      <w:pPr>
        <w:ind w:left="0" w:firstLine="0"/>
      </w:pPr>
      <w:rPr>
        <w:rFonts w:hint="eastAsia"/>
      </w:rPr>
    </w:lvl>
    <w:lvl w:ilvl="7" w:tentative="0">
      <w:start w:val="1"/>
      <w:numFmt w:val="lowerLetter"/>
      <w:pStyle w:val="10"/>
      <w:suff w:val="nothing"/>
      <w:lvlText w:val="%8）"/>
      <w:lvlJc w:val="left"/>
      <w:pPr>
        <w:ind w:left="0" w:firstLine="0"/>
      </w:pPr>
      <w:rPr>
        <w:rFonts w:hint="eastAsia"/>
      </w:rPr>
    </w:lvl>
    <w:lvl w:ilvl="8" w:tentative="0">
      <w:start w:val="1"/>
      <w:numFmt w:val="lowerRoman"/>
      <w:pStyle w:val="11"/>
      <w:suff w:val="nothing"/>
      <w:lvlText w:val="%9. "/>
      <w:lvlJc w:val="left"/>
      <w:pPr>
        <w:ind w:left="0" w:firstLine="0"/>
      </w:pPr>
      <w:rPr>
        <w:rFonts w:hint="eastAsia"/>
      </w:rPr>
    </w:lvl>
  </w:abstractNum>
  <w:num w:numId="1">
    <w:abstractNumId w:val="10"/>
  </w:num>
  <w:num w:numId="2">
    <w:abstractNumId w:val="0"/>
  </w:num>
  <w:num w:numId="3">
    <w:abstractNumId w:val="8"/>
  </w:num>
  <w:num w:numId="4">
    <w:abstractNumId w:val="3"/>
  </w:num>
  <w:num w:numId="5">
    <w:abstractNumId w:val="7"/>
  </w:num>
  <w:num w:numId="6">
    <w:abstractNumId w:val="4"/>
  </w:num>
  <w:num w:numId="7">
    <w:abstractNumId w:val="5"/>
  </w:num>
  <w:num w:numId="8">
    <w:abstractNumId w:val="1"/>
  </w:num>
  <w:num w:numId="9">
    <w:abstractNumId w:val="2"/>
  </w:num>
  <w:num w:numId="10">
    <w:abstractNumId w:val="9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footnotePr>
    <w:footnote w:id="0"/>
    <w:footnote w:id="1"/>
  </w:footnotePr>
  <w:endnotePr>
    <w:endnote w:id="0"/>
    <w:endnote w:id="1"/>
  </w:endnotePr>
  <w:compat>
    <w:useFELayout/>
    <w:splitPgBreakAndParaMark/>
    <w:compatSetting w:name="compatibilityMode" w:uri="http://schemas.microsoft.com/office/word" w:val="12"/>
  </w:compat>
  <w:rsids>
    <w:rsidRoot w:val="00000000"/>
    <w:rsid w:val="26AD2EAA"/>
    <w:rsid w:val="30547A4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semiHidden="0" w:name="heading 5"/>
    <w:lsdException w:qFormat="1" w:uiPriority="0" w:semiHidden="0" w:name="heading 6"/>
    <w:lsdException w:qFormat="1" w:uiPriority="0" w:semiHidden="0" w:name="heading 7"/>
    <w:lsdException w:qFormat="1" w:uiPriority="0" w:semiHidden="0" w:name="heading 8"/>
    <w:lsdException w:qFormat="1" w:uiPriority="0" w:semiHidden="0" w:name="heading 9"/>
    <w:lsdException w:qFormat="1" w:unhideWhenUsed="0" w:uiPriority="0" w:semiHidden="0" w:name="index 1"/>
    <w:lsdException w:qFormat="1" w:unhideWhenUsed="0" w:uiPriority="0" w:semiHidden="0" w:name="index 2"/>
    <w:lsdException w:qFormat="1" w:unhideWhenUsed="0" w:uiPriority="0" w:semiHidden="0" w:name="index 3"/>
    <w:lsdException w:qFormat="1" w:unhideWhenUsed="0" w:uiPriority="0" w:semiHidden="0" w:name="index 4"/>
    <w:lsdException w:qFormat="1" w:unhideWhenUsed="0" w:uiPriority="0" w:semiHidden="0" w:name="index 5"/>
    <w:lsdException w:qFormat="1" w:unhideWhenUsed="0" w:uiPriority="0" w:semiHidden="0" w:name="index 6"/>
    <w:lsdException w:qFormat="1" w:unhideWhenUsed="0" w:uiPriority="0" w:semiHidden="0" w:name="index 7"/>
    <w:lsdException w:qFormat="1" w:unhideWhenUsed="0" w:uiPriority="0" w:semiHidden="0" w:name="index 8"/>
    <w:lsdException w:qFormat="1"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qFormat="1" w:unhideWhenUsed="0" w:uiPriority="0" w:semiHidden="0" w:name="Normal Indent"/>
    <w:lsdException w:qFormat="1"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qFormat="1" w:unhideWhenUsed="0" w:uiPriority="0" w:semiHidden="0" w:name="index heading"/>
    <w:lsdException w:qFormat="1" w:uiPriority="0" w:semiHidden="0" w:name="caption"/>
    <w:lsdException w:qFormat="1" w:unhideWhenUsed="0" w:uiPriority="0" w:semiHidden="0" w:name="table of figures"/>
    <w:lsdException w:qFormat="1" w:unhideWhenUsed="0" w:uiPriority="0" w:semiHidden="0" w:name="envelope address"/>
    <w:lsdException w:qFormat="1" w:unhideWhenUsed="0" w:uiPriority="0" w:semiHidden="0" w:name="envelope return"/>
    <w:lsdException w:qFormat="1"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qFormat="1" w:unhideWhenUsed="0" w:uiPriority="0" w:semiHidden="0" w:name="endnote reference"/>
    <w:lsdException w:qFormat="1" w:unhideWhenUsed="0" w:uiPriority="0" w:semiHidden="0" w:name="endnote text"/>
    <w:lsdException w:qFormat="1" w:unhideWhenUsed="0" w:uiPriority="0" w:semiHidden="0" w:name="table of authorities"/>
    <w:lsdException w:qFormat="1" w:unhideWhenUsed="0" w:uiPriority="0" w:semiHidden="0" w:name="macro"/>
    <w:lsdException w:qFormat="1" w:unhideWhenUsed="0" w:uiPriority="0" w:semiHidden="0" w:name="toa heading"/>
    <w:lsdException w:qFormat="1" w:unhideWhenUsed="0" w:uiPriority="0" w:semiHidden="0" w:name="List"/>
    <w:lsdException w:qFormat="1" w:unhideWhenUsed="0" w:uiPriority="0" w:semiHidden="0" w:name="List Bullet"/>
    <w:lsdException w:qFormat="1" w:unhideWhenUsed="0" w:uiPriority="0" w:semiHidden="0" w:name="List Number"/>
    <w:lsdException w:qFormat="1" w:unhideWhenUsed="0" w:uiPriority="0" w:semiHidden="0" w:name="List 2"/>
    <w:lsdException w:qFormat="1" w:unhideWhenUsed="0" w:uiPriority="0" w:semiHidden="0" w:name="List 3"/>
    <w:lsdException w:qFormat="1" w:unhideWhenUsed="0" w:uiPriority="0" w:semiHidden="0" w:name="List 4"/>
    <w:lsdException w:qFormat="1" w:unhideWhenUsed="0" w:uiPriority="0" w:semiHidden="0" w:name="List 5"/>
    <w:lsdException w:qFormat="1" w:unhideWhenUsed="0" w:uiPriority="0" w:semiHidden="0" w:name="List Bullet 2"/>
    <w:lsdException w:qFormat="1" w:unhideWhenUsed="0" w:uiPriority="0" w:semiHidden="0" w:name="List Bullet 3"/>
    <w:lsdException w:qFormat="1" w:unhideWhenUsed="0" w:uiPriority="0" w:semiHidden="0" w:name="List Bullet 4"/>
    <w:lsdException w:qFormat="1" w:unhideWhenUsed="0" w:uiPriority="0" w:semiHidden="0" w:name="List Bullet 5"/>
    <w:lsdException w:qFormat="1" w:unhideWhenUsed="0" w:uiPriority="0" w:semiHidden="0" w:name="List Number 2"/>
    <w:lsdException w:qFormat="1" w:unhideWhenUsed="0" w:uiPriority="0" w:semiHidden="0" w:name="List Number 3"/>
    <w:lsdException w:qFormat="1" w:unhideWhenUsed="0" w:uiPriority="0" w:semiHidden="0" w:name="List Number 4"/>
    <w:lsdException w:qFormat="1" w:unhideWhenUsed="0" w:uiPriority="0" w:semiHidden="0" w:name="List Number 5"/>
    <w:lsdException w:qFormat="1" w:unhideWhenUsed="0" w:uiPriority="10" w:semiHidden="0" w:name="Title"/>
    <w:lsdException w:qFormat="1" w:unhideWhenUsed="0" w:uiPriority="0" w:semiHidden="0" w:name="Closing"/>
    <w:lsdException w:qFormat="1"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qFormat="1" w:unhideWhenUsed="0" w:uiPriority="0" w:semiHidden="0" w:name="List Continue"/>
    <w:lsdException w:qFormat="1" w:unhideWhenUsed="0" w:uiPriority="0" w:semiHidden="0" w:name="List Continue 2"/>
    <w:lsdException w:qFormat="1" w:unhideWhenUsed="0" w:uiPriority="0" w:semiHidden="0" w:name="List Continue 3"/>
    <w:lsdException w:qFormat="1" w:unhideWhenUsed="0" w:uiPriority="0" w:semiHidden="0" w:name="List Continue 4"/>
    <w:lsdException w:qFormat="1" w:unhideWhenUsed="0" w:uiPriority="0" w:semiHidden="0" w:name="List Continue 5"/>
    <w:lsdException w:qFormat="1" w:unhideWhenUsed="0" w:uiPriority="0" w:semiHidden="0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qFormat="1" w:unhideWhenUsed="0" w:uiPriority="0" w:semiHidden="0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qFormat="1"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snapToGrid w:val="0"/>
      <w:spacing w:line="360" w:lineRule="auto"/>
      <w:ind w:firstLine="480" w:firstLineChars="200"/>
      <w:jc w:val="both"/>
    </w:pPr>
    <w:rPr>
      <w:rFonts w:ascii="宋体" w:hAnsi="宋体" w:eastAsia="宋体" w:cstheme="minorBidi"/>
      <w:kern w:val="2"/>
      <w:sz w:val="24"/>
      <w:szCs w:val="24"/>
      <w:lang w:val="en-US" w:eastAsia="zh-CN" w:bidi="ar-SA"/>
    </w:rPr>
  </w:style>
  <w:style w:type="paragraph" w:styleId="3">
    <w:name w:val="heading 1"/>
    <w:next w:val="1"/>
    <w:qFormat/>
    <w:uiPriority w:val="9"/>
    <w:pPr>
      <w:keepNext/>
      <w:keepLines/>
      <w:numPr>
        <w:ilvl w:val="0"/>
        <w:numId w:val="1"/>
      </w:num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left" w:pos="0"/>
      </w:tabs>
      <w:adjustRightInd w:val="0"/>
      <w:snapToGrid w:val="0"/>
      <w:spacing w:before="50" w:beforeLines="50" w:line="360" w:lineRule="auto"/>
      <w:ind w:left="0" w:firstLine="0"/>
      <w:jc w:val="center"/>
      <w:outlineLvl w:val="0"/>
    </w:pPr>
    <w:rPr>
      <w:rFonts w:ascii="宋体" w:hAnsi="宋体" w:eastAsia="宋体" w:cstheme="minorBidi"/>
      <w:b/>
      <w:bCs/>
      <w:kern w:val="44"/>
      <w:sz w:val="28"/>
      <w:szCs w:val="28"/>
      <w:lang w:val="en-US" w:eastAsia="zh-CN" w:bidi="ar-SA"/>
    </w:rPr>
  </w:style>
  <w:style w:type="paragraph" w:styleId="4">
    <w:name w:val="heading 2"/>
    <w:basedOn w:val="3"/>
    <w:next w:val="1"/>
    <w:unhideWhenUsed/>
    <w:qFormat/>
    <w:uiPriority w:val="9"/>
    <w:pPr>
      <w:numPr>
        <w:ilvl w:val="1"/>
        <w:numId w:val="1"/>
      </w:numPr>
      <w:outlineLvl w:val="1"/>
    </w:pPr>
  </w:style>
  <w:style w:type="paragraph" w:styleId="5">
    <w:name w:val="heading 3"/>
    <w:basedOn w:val="4"/>
    <w:next w:val="1"/>
    <w:unhideWhenUsed/>
    <w:qFormat/>
    <w:uiPriority w:val="9"/>
    <w:pPr>
      <w:numPr>
        <w:ilvl w:val="2"/>
        <w:numId w:val="1"/>
      </w:numPr>
      <w:ind w:firstLine="0"/>
      <w:jc w:val="left"/>
      <w:outlineLvl w:val="2"/>
    </w:pPr>
    <w:rPr>
      <w:sz w:val="24"/>
      <w:szCs w:val="24"/>
    </w:rPr>
  </w:style>
  <w:style w:type="paragraph" w:styleId="6">
    <w:name w:val="heading 4"/>
    <w:basedOn w:val="5"/>
    <w:next w:val="1"/>
    <w:unhideWhenUsed/>
    <w:qFormat/>
    <w:uiPriority w:val="9"/>
    <w:pPr>
      <w:numPr>
        <w:ilvl w:val="3"/>
      </w:numPr>
      <w:ind w:firstLine="0"/>
      <w:outlineLvl w:val="3"/>
    </w:pPr>
  </w:style>
  <w:style w:type="paragraph" w:styleId="7">
    <w:name w:val="heading 5"/>
    <w:basedOn w:val="6"/>
    <w:next w:val="1"/>
    <w:unhideWhenUsed/>
    <w:qFormat/>
    <w:uiPriority w:val="9"/>
    <w:pPr>
      <w:numPr>
        <w:ilvl w:val="4"/>
      </w:numPr>
      <w:outlineLvl w:val="4"/>
    </w:pPr>
  </w:style>
  <w:style w:type="paragraph" w:styleId="8">
    <w:name w:val="heading 6"/>
    <w:basedOn w:val="7"/>
    <w:next w:val="1"/>
    <w:unhideWhenUsed/>
    <w:qFormat/>
    <w:uiPriority w:val="0"/>
    <w:pPr>
      <w:numPr>
        <w:ilvl w:val="5"/>
      </w:numPr>
      <w:outlineLvl w:val="5"/>
    </w:pPr>
  </w:style>
  <w:style w:type="paragraph" w:styleId="9">
    <w:name w:val="heading 7"/>
    <w:basedOn w:val="8"/>
    <w:next w:val="1"/>
    <w:unhideWhenUsed/>
    <w:qFormat/>
    <w:uiPriority w:val="0"/>
    <w:pPr>
      <w:numPr>
        <w:ilvl w:val="6"/>
      </w:numPr>
      <w:outlineLvl w:val="6"/>
    </w:pPr>
  </w:style>
  <w:style w:type="paragraph" w:styleId="10">
    <w:name w:val="heading 8"/>
    <w:basedOn w:val="9"/>
    <w:next w:val="1"/>
    <w:unhideWhenUsed/>
    <w:qFormat/>
    <w:uiPriority w:val="0"/>
    <w:pPr>
      <w:numPr>
        <w:ilvl w:val="7"/>
      </w:numPr>
      <w:outlineLvl w:val="7"/>
    </w:pPr>
  </w:style>
  <w:style w:type="paragraph" w:styleId="11">
    <w:name w:val="heading 9"/>
    <w:basedOn w:val="10"/>
    <w:next w:val="1"/>
    <w:unhideWhenUsed/>
    <w:qFormat/>
    <w:uiPriority w:val="0"/>
    <w:pPr>
      <w:numPr>
        <w:ilvl w:val="8"/>
      </w:numPr>
      <w:outlineLvl w:val="8"/>
    </w:pPr>
  </w:style>
  <w:style w:type="character" w:default="1" w:styleId="87">
    <w:name w:val="Default Paragraph Font"/>
    <w:semiHidden/>
    <w:unhideWhenUsed/>
    <w:qFormat/>
    <w:uiPriority w:val="1"/>
    <w:rPr>
      <w:rFonts w:ascii="宋体" w:hAnsi="宋体" w:eastAsia="宋体"/>
    </w:rPr>
  </w:style>
  <w:style w:type="table" w:default="1" w:styleId="8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111"/>
    <w:qFormat/>
    <w:uiPriority w:val="0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adjustRightInd w:val="0"/>
      <w:snapToGrid w:val="0"/>
      <w:ind w:firstLine="480" w:firstLineChars="200"/>
    </w:pPr>
    <w:rPr>
      <w:rFonts w:ascii="宋体" w:hAnsi="宋体" w:eastAsia="宋体" w:cs="Courier New"/>
      <w:kern w:val="2"/>
      <w:sz w:val="24"/>
      <w:szCs w:val="24"/>
      <w:lang w:val="en-US" w:eastAsia="zh-CN" w:bidi="ar-SA"/>
    </w:rPr>
  </w:style>
  <w:style w:type="paragraph" w:styleId="12">
    <w:name w:val="List 3"/>
    <w:basedOn w:val="1"/>
    <w:qFormat/>
    <w:uiPriority w:val="0"/>
    <w:pPr>
      <w:ind w:left="100" w:leftChars="400" w:hanging="200" w:hangingChars="200"/>
      <w:contextualSpacing/>
    </w:pPr>
  </w:style>
  <w:style w:type="paragraph" w:styleId="13">
    <w:name w:val="toc 7"/>
    <w:basedOn w:val="1"/>
    <w:next w:val="1"/>
    <w:qFormat/>
    <w:uiPriority w:val="0"/>
    <w:pPr>
      <w:ind w:left="2520" w:leftChars="1200"/>
    </w:pPr>
  </w:style>
  <w:style w:type="paragraph" w:styleId="14">
    <w:name w:val="List Number 2"/>
    <w:basedOn w:val="1"/>
    <w:qFormat/>
    <w:uiPriority w:val="0"/>
    <w:pPr>
      <w:numPr>
        <w:ilvl w:val="1"/>
        <w:numId w:val="2"/>
      </w:numPr>
      <w:tabs>
        <w:tab w:val="left" w:pos="0"/>
      </w:tabs>
      <w:spacing w:before="50" w:after="50"/>
      <w:ind w:left="1191" w:hanging="624" w:firstLineChars="0"/>
    </w:pPr>
    <w:rPr>
      <w:color w:val="292929"/>
    </w:rPr>
  </w:style>
  <w:style w:type="paragraph" w:styleId="15">
    <w:name w:val="table of authorities"/>
    <w:basedOn w:val="1"/>
    <w:next w:val="1"/>
    <w:qFormat/>
    <w:uiPriority w:val="0"/>
    <w:pPr>
      <w:ind w:left="420" w:leftChars="200" w:firstLine="0"/>
    </w:pPr>
  </w:style>
  <w:style w:type="paragraph" w:styleId="16">
    <w:name w:val="Note Heading"/>
    <w:basedOn w:val="1"/>
    <w:next w:val="1"/>
    <w:link w:val="125"/>
    <w:qFormat/>
    <w:uiPriority w:val="0"/>
    <w:pPr>
      <w:jc w:val="center"/>
    </w:pPr>
  </w:style>
  <w:style w:type="paragraph" w:styleId="17">
    <w:name w:val="List Bullet 4"/>
    <w:basedOn w:val="1"/>
    <w:qFormat/>
    <w:uiPriority w:val="0"/>
    <w:pPr>
      <w:numPr>
        <w:ilvl w:val="0"/>
        <w:numId w:val="3"/>
      </w:numPr>
      <w:spacing w:before="50" w:after="50"/>
      <w:ind w:left="1871" w:hanging="454"/>
    </w:pPr>
  </w:style>
  <w:style w:type="paragraph" w:styleId="18">
    <w:name w:val="index 8"/>
    <w:basedOn w:val="1"/>
    <w:next w:val="1"/>
    <w:qFormat/>
    <w:uiPriority w:val="0"/>
    <w:pPr>
      <w:ind w:left="1400" w:leftChars="1400" w:firstLine="0"/>
    </w:pPr>
  </w:style>
  <w:style w:type="paragraph" w:styleId="19">
    <w:name w:val="E-mail Signature"/>
    <w:basedOn w:val="1"/>
    <w:link w:val="110"/>
    <w:qFormat/>
    <w:uiPriority w:val="0"/>
  </w:style>
  <w:style w:type="paragraph" w:styleId="20">
    <w:name w:val="List Number"/>
    <w:basedOn w:val="1"/>
    <w:qFormat/>
    <w:uiPriority w:val="0"/>
    <w:pPr>
      <w:numPr>
        <w:ilvl w:val="0"/>
        <w:numId w:val="4"/>
      </w:numPr>
      <w:tabs>
        <w:tab w:val="left" w:pos="0"/>
      </w:tabs>
      <w:spacing w:before="50" w:after="50" w:line="240" w:lineRule="auto"/>
      <w:ind w:left="454" w:hanging="454" w:firstLineChars="0"/>
    </w:pPr>
  </w:style>
  <w:style w:type="paragraph" w:styleId="21">
    <w:name w:val="Normal Indent"/>
    <w:basedOn w:val="1"/>
    <w:qFormat/>
    <w:uiPriority w:val="0"/>
    <w:pPr>
      <w:ind w:firstLine="420"/>
    </w:pPr>
  </w:style>
  <w:style w:type="paragraph" w:styleId="22">
    <w:name w:val="caption"/>
    <w:basedOn w:val="1"/>
    <w:next w:val="1"/>
    <w:unhideWhenUsed/>
    <w:qFormat/>
    <w:uiPriority w:val="0"/>
    <w:pPr>
      <w:ind w:firstLine="0" w:firstLineChars="0"/>
    </w:pPr>
    <w:rPr>
      <w:sz w:val="20"/>
      <w:szCs w:val="20"/>
    </w:rPr>
  </w:style>
  <w:style w:type="paragraph" w:styleId="23">
    <w:name w:val="index 5"/>
    <w:basedOn w:val="1"/>
    <w:next w:val="1"/>
    <w:qFormat/>
    <w:uiPriority w:val="0"/>
    <w:pPr>
      <w:ind w:left="800" w:leftChars="800" w:firstLine="0"/>
    </w:pPr>
  </w:style>
  <w:style w:type="paragraph" w:styleId="24">
    <w:name w:val="List Bullet"/>
    <w:basedOn w:val="1"/>
    <w:qFormat/>
    <w:uiPriority w:val="0"/>
    <w:pPr>
      <w:numPr>
        <w:ilvl w:val="0"/>
        <w:numId w:val="5"/>
      </w:numPr>
      <w:spacing w:before="50" w:after="50"/>
      <w:ind w:left="454" w:hanging="454"/>
    </w:pPr>
  </w:style>
  <w:style w:type="paragraph" w:styleId="25">
    <w:name w:val="envelope address"/>
    <w:basedOn w:val="1"/>
    <w:qFormat/>
    <w:uiPriority w:val="0"/>
    <w:pPr>
      <w:framePr w:w="7920" w:h="1980" w:hRule="exact" w:hSpace="180" w:wrap="auto" w:vAnchor="margin" w:hAnchor="page" w:xAlign="center" w:yAlign="bottom"/>
      <w:ind w:left="100" w:leftChars="1400"/>
    </w:pPr>
    <w:rPr>
      <w:rFonts w:cstheme="majorBidi"/>
    </w:rPr>
  </w:style>
  <w:style w:type="paragraph" w:styleId="26">
    <w:name w:val="Document Map"/>
    <w:basedOn w:val="1"/>
    <w:link w:val="115"/>
    <w:qFormat/>
    <w:uiPriority w:val="0"/>
    <w:rPr>
      <w:sz w:val="18"/>
      <w:szCs w:val="18"/>
    </w:rPr>
  </w:style>
  <w:style w:type="paragraph" w:styleId="27">
    <w:name w:val="toa heading"/>
    <w:basedOn w:val="1"/>
    <w:next w:val="1"/>
    <w:qFormat/>
    <w:uiPriority w:val="0"/>
    <w:pPr>
      <w:spacing w:before="120"/>
    </w:pPr>
    <w:rPr>
      <w:rFonts w:cstheme="majorBidi"/>
    </w:rPr>
  </w:style>
  <w:style w:type="paragraph" w:styleId="28">
    <w:name w:val="annotation text"/>
    <w:basedOn w:val="1"/>
    <w:qFormat/>
    <w:uiPriority w:val="0"/>
    <w:pPr>
      <w:spacing w:before="50" w:after="50"/>
      <w:ind w:firstLine="0" w:firstLineChars="0"/>
      <w:jc w:val="left"/>
    </w:pPr>
  </w:style>
  <w:style w:type="paragraph" w:styleId="29">
    <w:name w:val="index 6"/>
    <w:basedOn w:val="1"/>
    <w:next w:val="1"/>
    <w:qFormat/>
    <w:uiPriority w:val="0"/>
    <w:pPr>
      <w:ind w:left="1000" w:leftChars="1000" w:firstLine="0"/>
    </w:pPr>
  </w:style>
  <w:style w:type="paragraph" w:styleId="30">
    <w:name w:val="Salutation"/>
    <w:basedOn w:val="1"/>
    <w:next w:val="1"/>
    <w:link w:val="108"/>
    <w:qFormat/>
    <w:uiPriority w:val="0"/>
  </w:style>
  <w:style w:type="paragraph" w:styleId="31">
    <w:name w:val="Body Text 3"/>
    <w:basedOn w:val="1"/>
    <w:link w:val="118"/>
    <w:qFormat/>
    <w:uiPriority w:val="0"/>
    <w:pPr>
      <w:spacing w:after="120"/>
    </w:pPr>
    <w:rPr>
      <w:sz w:val="16"/>
      <w:szCs w:val="16"/>
    </w:rPr>
  </w:style>
  <w:style w:type="paragraph" w:styleId="32">
    <w:name w:val="Closing"/>
    <w:basedOn w:val="1"/>
    <w:link w:val="112"/>
    <w:qFormat/>
    <w:uiPriority w:val="0"/>
    <w:pPr>
      <w:ind w:left="100" w:leftChars="2100"/>
    </w:pPr>
  </w:style>
  <w:style w:type="paragraph" w:styleId="33">
    <w:name w:val="List Bullet 3"/>
    <w:basedOn w:val="1"/>
    <w:qFormat/>
    <w:uiPriority w:val="0"/>
    <w:pPr>
      <w:numPr>
        <w:ilvl w:val="0"/>
        <w:numId w:val="6"/>
      </w:numPr>
      <w:spacing w:before="50" w:after="50"/>
      <w:ind w:left="1361" w:hanging="454"/>
    </w:pPr>
  </w:style>
  <w:style w:type="paragraph" w:styleId="34">
    <w:name w:val="Body Text"/>
    <w:basedOn w:val="1"/>
    <w:link w:val="119"/>
    <w:qFormat/>
    <w:uiPriority w:val="0"/>
    <w:pPr>
      <w:spacing w:after="50" w:afterLines="50"/>
    </w:pPr>
  </w:style>
  <w:style w:type="paragraph" w:styleId="35">
    <w:name w:val="Body Text Indent"/>
    <w:basedOn w:val="1"/>
    <w:link w:val="121"/>
    <w:qFormat/>
    <w:uiPriority w:val="0"/>
    <w:pPr>
      <w:spacing w:after="120"/>
      <w:ind w:left="420" w:leftChars="200"/>
    </w:pPr>
  </w:style>
  <w:style w:type="paragraph" w:styleId="36">
    <w:name w:val="List Number 3"/>
    <w:basedOn w:val="1"/>
    <w:qFormat/>
    <w:uiPriority w:val="0"/>
    <w:pPr>
      <w:numPr>
        <w:ilvl w:val="2"/>
        <w:numId w:val="7"/>
      </w:numPr>
      <w:tabs>
        <w:tab w:val="left" w:pos="0"/>
      </w:tabs>
      <w:spacing w:before="50" w:after="50"/>
      <w:ind w:left="2098" w:hanging="907" w:firstLineChars="0"/>
    </w:pPr>
    <w:rPr>
      <w:color w:val="292929"/>
    </w:rPr>
  </w:style>
  <w:style w:type="paragraph" w:styleId="37">
    <w:name w:val="List 2"/>
    <w:basedOn w:val="1"/>
    <w:qFormat/>
    <w:uiPriority w:val="0"/>
    <w:pPr>
      <w:ind w:left="100" w:leftChars="200" w:hanging="200" w:hangingChars="200"/>
      <w:contextualSpacing/>
    </w:pPr>
  </w:style>
  <w:style w:type="paragraph" w:styleId="38">
    <w:name w:val="List Continue"/>
    <w:basedOn w:val="1"/>
    <w:qFormat/>
    <w:uiPriority w:val="0"/>
    <w:pPr>
      <w:spacing w:after="120"/>
      <w:ind w:left="420" w:leftChars="200"/>
      <w:contextualSpacing/>
    </w:pPr>
  </w:style>
  <w:style w:type="paragraph" w:styleId="39">
    <w:name w:val="Block Text"/>
    <w:basedOn w:val="1"/>
    <w:qFormat/>
    <w:uiPriority w:val="0"/>
    <w:pPr>
      <w:spacing w:after="120"/>
      <w:ind w:left="1440" w:leftChars="700" w:right="1440" w:rightChars="700"/>
    </w:pPr>
  </w:style>
  <w:style w:type="paragraph" w:styleId="40">
    <w:name w:val="List Bullet 2"/>
    <w:basedOn w:val="1"/>
    <w:qFormat/>
    <w:uiPriority w:val="0"/>
    <w:pPr>
      <w:numPr>
        <w:ilvl w:val="0"/>
        <w:numId w:val="8"/>
      </w:numPr>
      <w:spacing w:before="50" w:after="50"/>
      <w:ind w:left="850" w:firstLine="0" w:firstLineChars="0"/>
    </w:pPr>
  </w:style>
  <w:style w:type="paragraph" w:styleId="41">
    <w:name w:val="index 4"/>
    <w:basedOn w:val="1"/>
    <w:next w:val="1"/>
    <w:qFormat/>
    <w:uiPriority w:val="0"/>
    <w:pPr>
      <w:ind w:left="600" w:leftChars="600" w:firstLine="0"/>
    </w:pPr>
  </w:style>
  <w:style w:type="paragraph" w:styleId="42">
    <w:name w:val="toc 5"/>
    <w:basedOn w:val="1"/>
    <w:next w:val="1"/>
    <w:qFormat/>
    <w:uiPriority w:val="0"/>
    <w:pPr>
      <w:ind w:left="1680" w:leftChars="800"/>
    </w:pPr>
  </w:style>
  <w:style w:type="paragraph" w:styleId="43">
    <w:name w:val="toc 3"/>
    <w:basedOn w:val="1"/>
    <w:next w:val="1"/>
    <w:qFormat/>
    <w:uiPriority w:val="0"/>
    <w:pPr>
      <w:spacing w:before="50" w:after="50"/>
      <w:ind w:left="840" w:leftChars="400" w:firstLine="0" w:firstLineChars="0"/>
    </w:pPr>
  </w:style>
  <w:style w:type="paragraph" w:styleId="44">
    <w:name w:val="Plain Text"/>
    <w:basedOn w:val="1"/>
    <w:link w:val="109"/>
    <w:qFormat/>
    <w:uiPriority w:val="0"/>
    <w:rPr>
      <w:rFonts w:cs="Courier New"/>
    </w:rPr>
  </w:style>
  <w:style w:type="paragraph" w:styleId="45">
    <w:name w:val="List Bullet 5"/>
    <w:basedOn w:val="1"/>
    <w:qFormat/>
    <w:uiPriority w:val="0"/>
    <w:pPr>
      <w:numPr>
        <w:ilvl w:val="0"/>
        <w:numId w:val="9"/>
      </w:numPr>
      <w:spacing w:before="50" w:after="50"/>
      <w:ind w:left="2324" w:hanging="454"/>
    </w:pPr>
  </w:style>
  <w:style w:type="paragraph" w:styleId="46">
    <w:name w:val="List Number 4"/>
    <w:basedOn w:val="1"/>
    <w:qFormat/>
    <w:uiPriority w:val="0"/>
    <w:pPr>
      <w:numPr>
        <w:ilvl w:val="3"/>
        <w:numId w:val="10"/>
      </w:numPr>
      <w:tabs>
        <w:tab w:val="left" w:pos="0"/>
        <w:tab w:val="left" w:pos="420"/>
      </w:tabs>
      <w:spacing w:before="50" w:after="50"/>
      <w:ind w:left="3231" w:hanging="1134" w:firstLineChars="0"/>
    </w:pPr>
    <w:rPr>
      <w:color w:val="292929"/>
    </w:rPr>
  </w:style>
  <w:style w:type="paragraph" w:styleId="47">
    <w:name w:val="toc 8"/>
    <w:basedOn w:val="1"/>
    <w:next w:val="1"/>
    <w:link w:val="100"/>
    <w:qFormat/>
    <w:uiPriority w:val="0"/>
    <w:pPr>
      <w:ind w:left="2940" w:leftChars="1400"/>
    </w:pPr>
  </w:style>
  <w:style w:type="paragraph" w:styleId="48">
    <w:name w:val="index 3"/>
    <w:basedOn w:val="1"/>
    <w:next w:val="1"/>
    <w:qFormat/>
    <w:uiPriority w:val="0"/>
    <w:pPr>
      <w:ind w:left="400" w:leftChars="400" w:firstLine="0"/>
    </w:pPr>
  </w:style>
  <w:style w:type="paragraph" w:styleId="49">
    <w:name w:val="Date"/>
    <w:basedOn w:val="1"/>
    <w:next w:val="1"/>
    <w:link w:val="114"/>
    <w:qFormat/>
    <w:uiPriority w:val="0"/>
    <w:pPr>
      <w:spacing w:line="240" w:lineRule="auto"/>
      <w:ind w:left="0" w:leftChars="0" w:firstLine="0" w:firstLineChars="0"/>
      <w:jc w:val="right"/>
    </w:pPr>
  </w:style>
  <w:style w:type="paragraph" w:styleId="50">
    <w:name w:val="Body Text Indent 2"/>
    <w:basedOn w:val="1"/>
    <w:link w:val="123"/>
    <w:qFormat/>
    <w:uiPriority w:val="0"/>
    <w:pPr>
      <w:spacing w:after="120" w:line="480" w:lineRule="auto"/>
      <w:ind w:left="420" w:leftChars="200"/>
    </w:pPr>
  </w:style>
  <w:style w:type="paragraph" w:styleId="51">
    <w:name w:val="endnote text"/>
    <w:basedOn w:val="1"/>
    <w:qFormat/>
    <w:uiPriority w:val="0"/>
    <w:pPr>
      <w:ind w:firstLine="0" w:firstLineChars="0"/>
      <w:jc w:val="left"/>
    </w:pPr>
  </w:style>
  <w:style w:type="paragraph" w:styleId="52">
    <w:name w:val="List Continue 5"/>
    <w:basedOn w:val="1"/>
    <w:qFormat/>
    <w:uiPriority w:val="0"/>
    <w:pPr>
      <w:spacing w:after="120"/>
      <w:ind w:left="2100" w:leftChars="1000"/>
      <w:contextualSpacing/>
    </w:pPr>
  </w:style>
  <w:style w:type="paragraph" w:styleId="53">
    <w:name w:val="Balloon Text"/>
    <w:basedOn w:val="1"/>
    <w:qFormat/>
    <w:uiPriority w:val="0"/>
    <w:pPr>
      <w:spacing w:before="50" w:after="50"/>
      <w:ind w:firstLine="0" w:firstLineChars="0"/>
    </w:pPr>
    <w:rPr>
      <w:sz w:val="18"/>
      <w:szCs w:val="18"/>
    </w:rPr>
  </w:style>
  <w:style w:type="paragraph" w:styleId="54">
    <w:name w:val="footer"/>
    <w:basedOn w:val="1"/>
    <w:qFormat/>
    <w:uiPriority w:val="0"/>
    <w:pPr>
      <w:tabs>
        <w:tab w:val="center" w:pos="4153"/>
        <w:tab w:val="right" w:pos="8306"/>
      </w:tabs>
      <w:ind w:firstLine="0" w:firstLineChars="0"/>
      <w:jc w:val="center"/>
    </w:pPr>
    <w:rPr>
      <w:sz w:val="18"/>
      <w:szCs w:val="18"/>
    </w:rPr>
  </w:style>
  <w:style w:type="paragraph" w:styleId="55">
    <w:name w:val="envelope return"/>
    <w:basedOn w:val="1"/>
    <w:qFormat/>
    <w:uiPriority w:val="0"/>
    <w:rPr>
      <w:rFonts w:cstheme="majorBidi"/>
    </w:rPr>
  </w:style>
  <w:style w:type="paragraph" w:styleId="5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ind w:firstLine="0" w:firstLineChars="0"/>
      <w:jc w:val="center"/>
    </w:pPr>
    <w:rPr>
      <w:sz w:val="18"/>
      <w:szCs w:val="18"/>
    </w:rPr>
  </w:style>
  <w:style w:type="paragraph" w:styleId="57">
    <w:name w:val="Signature"/>
    <w:basedOn w:val="1"/>
    <w:link w:val="113"/>
    <w:qFormat/>
    <w:uiPriority w:val="0"/>
    <w:pPr>
      <w:spacing w:line="240" w:lineRule="auto"/>
      <w:ind w:left="0" w:leftChars="0" w:firstLine="0" w:firstLineChars="0"/>
      <w:jc w:val="right"/>
    </w:pPr>
  </w:style>
  <w:style w:type="paragraph" w:styleId="58">
    <w:name w:val="toc 1"/>
    <w:basedOn w:val="1"/>
    <w:next w:val="1"/>
    <w:link w:val="97"/>
    <w:qFormat/>
    <w:uiPriority w:val="0"/>
    <w:pPr>
      <w:spacing w:before="50" w:after="50"/>
      <w:ind w:firstLine="0" w:firstLineChars="0"/>
    </w:pPr>
  </w:style>
  <w:style w:type="paragraph" w:styleId="59">
    <w:name w:val="List Continue 4"/>
    <w:basedOn w:val="1"/>
    <w:qFormat/>
    <w:uiPriority w:val="0"/>
    <w:pPr>
      <w:spacing w:after="120"/>
      <w:ind w:left="1680" w:leftChars="800"/>
      <w:contextualSpacing/>
    </w:pPr>
  </w:style>
  <w:style w:type="paragraph" w:styleId="60">
    <w:name w:val="toc 4"/>
    <w:basedOn w:val="1"/>
    <w:next w:val="1"/>
    <w:qFormat/>
    <w:uiPriority w:val="0"/>
    <w:pPr>
      <w:ind w:left="1260" w:leftChars="600"/>
    </w:pPr>
  </w:style>
  <w:style w:type="paragraph" w:styleId="61">
    <w:name w:val="index heading"/>
    <w:basedOn w:val="1"/>
    <w:next w:val="62"/>
    <w:qFormat/>
    <w:uiPriority w:val="0"/>
    <w:rPr>
      <w:rFonts w:cstheme="majorBidi"/>
      <w:b/>
      <w:bCs/>
    </w:rPr>
  </w:style>
  <w:style w:type="paragraph" w:styleId="62">
    <w:name w:val="index 1"/>
    <w:basedOn w:val="1"/>
    <w:next w:val="1"/>
    <w:qFormat/>
    <w:uiPriority w:val="0"/>
    <w:pPr>
      <w:ind w:firstLine="0"/>
    </w:pPr>
  </w:style>
  <w:style w:type="paragraph" w:styleId="63">
    <w:name w:val="Subtitle"/>
    <w:qFormat/>
    <w:uiPriority w:val="0"/>
    <w:pPr>
      <w:adjustRightInd w:val="0"/>
      <w:snapToGrid w:val="0"/>
      <w:spacing w:line="312" w:lineRule="auto"/>
      <w:jc w:val="center"/>
      <w:outlineLvl w:val="1"/>
    </w:pPr>
    <w:rPr>
      <w:rFonts w:ascii="宋体" w:hAnsi="宋体" w:eastAsia="宋体" w:cstheme="minorBidi"/>
      <w:b/>
      <w:bCs/>
      <w:kern w:val="28"/>
      <w:sz w:val="30"/>
      <w:szCs w:val="30"/>
      <w:lang w:val="en-US" w:eastAsia="zh-CN" w:bidi="ar-SA"/>
    </w:rPr>
  </w:style>
  <w:style w:type="paragraph" w:styleId="64">
    <w:name w:val="List Number 5"/>
    <w:basedOn w:val="1"/>
    <w:qFormat/>
    <w:uiPriority w:val="0"/>
    <w:pPr>
      <w:numPr>
        <w:ilvl w:val="4"/>
        <w:numId w:val="11"/>
      </w:numPr>
      <w:tabs>
        <w:tab w:val="left" w:pos="0"/>
      </w:tabs>
      <w:spacing w:before="50" w:after="50"/>
      <w:ind w:left="4592" w:hanging="1361" w:firstLineChars="0"/>
    </w:pPr>
    <w:rPr>
      <w:color w:val="292929"/>
    </w:rPr>
  </w:style>
  <w:style w:type="paragraph" w:styleId="65">
    <w:name w:val="List"/>
    <w:basedOn w:val="1"/>
    <w:qFormat/>
    <w:uiPriority w:val="0"/>
    <w:pPr>
      <w:ind w:left="200" w:hanging="200" w:hangingChars="200"/>
      <w:contextualSpacing/>
    </w:pPr>
  </w:style>
  <w:style w:type="paragraph" w:styleId="66">
    <w:name w:val="footnote text"/>
    <w:basedOn w:val="1"/>
    <w:qFormat/>
    <w:uiPriority w:val="0"/>
    <w:pPr>
      <w:ind w:firstLine="0" w:firstLineChars="0"/>
      <w:jc w:val="left"/>
    </w:pPr>
    <w:rPr>
      <w:sz w:val="18"/>
      <w:szCs w:val="18"/>
    </w:rPr>
  </w:style>
  <w:style w:type="paragraph" w:styleId="67">
    <w:name w:val="toc 6"/>
    <w:basedOn w:val="1"/>
    <w:next w:val="1"/>
    <w:qFormat/>
    <w:uiPriority w:val="0"/>
    <w:pPr>
      <w:ind w:left="2100" w:leftChars="1000"/>
    </w:pPr>
  </w:style>
  <w:style w:type="paragraph" w:styleId="68">
    <w:name w:val="List 5"/>
    <w:basedOn w:val="1"/>
    <w:qFormat/>
    <w:uiPriority w:val="0"/>
    <w:pPr>
      <w:ind w:left="100" w:leftChars="800" w:hanging="200" w:hangingChars="200"/>
      <w:contextualSpacing/>
    </w:pPr>
  </w:style>
  <w:style w:type="paragraph" w:styleId="69">
    <w:name w:val="Body Text Indent 3"/>
    <w:basedOn w:val="1"/>
    <w:link w:val="124"/>
    <w:qFormat/>
    <w:uiPriority w:val="0"/>
    <w:pPr>
      <w:spacing w:after="120"/>
      <w:ind w:left="420" w:leftChars="200"/>
    </w:pPr>
    <w:rPr>
      <w:sz w:val="16"/>
      <w:szCs w:val="16"/>
    </w:rPr>
  </w:style>
  <w:style w:type="paragraph" w:styleId="70">
    <w:name w:val="index 7"/>
    <w:basedOn w:val="1"/>
    <w:next w:val="1"/>
    <w:qFormat/>
    <w:uiPriority w:val="0"/>
    <w:pPr>
      <w:ind w:left="1200" w:leftChars="1200" w:firstLine="0"/>
    </w:pPr>
  </w:style>
  <w:style w:type="paragraph" w:styleId="71">
    <w:name w:val="index 9"/>
    <w:basedOn w:val="1"/>
    <w:next w:val="1"/>
    <w:qFormat/>
    <w:uiPriority w:val="0"/>
    <w:pPr>
      <w:ind w:left="1600" w:leftChars="1600" w:firstLine="0"/>
    </w:pPr>
  </w:style>
  <w:style w:type="paragraph" w:styleId="72">
    <w:name w:val="table of figures"/>
    <w:basedOn w:val="1"/>
    <w:next w:val="1"/>
    <w:qFormat/>
    <w:uiPriority w:val="0"/>
    <w:pPr>
      <w:ind w:left="200" w:leftChars="200" w:hanging="200" w:hangingChars="200"/>
    </w:pPr>
  </w:style>
  <w:style w:type="paragraph" w:styleId="73">
    <w:name w:val="toc 2"/>
    <w:basedOn w:val="1"/>
    <w:next w:val="1"/>
    <w:qFormat/>
    <w:uiPriority w:val="0"/>
    <w:pPr>
      <w:spacing w:before="50" w:after="50"/>
      <w:ind w:left="420" w:leftChars="200" w:firstLine="0" w:firstLineChars="0"/>
    </w:pPr>
  </w:style>
  <w:style w:type="paragraph" w:styleId="74">
    <w:name w:val="toc 9"/>
    <w:basedOn w:val="1"/>
    <w:next w:val="1"/>
    <w:link w:val="99"/>
    <w:qFormat/>
    <w:uiPriority w:val="0"/>
    <w:pPr>
      <w:ind w:left="3360" w:leftChars="1600"/>
    </w:pPr>
  </w:style>
  <w:style w:type="paragraph" w:styleId="75">
    <w:name w:val="Body Text 2"/>
    <w:basedOn w:val="1"/>
    <w:link w:val="117"/>
    <w:qFormat/>
    <w:uiPriority w:val="0"/>
    <w:pPr>
      <w:spacing w:after="120" w:line="480" w:lineRule="auto"/>
    </w:pPr>
  </w:style>
  <w:style w:type="paragraph" w:styleId="76">
    <w:name w:val="List 4"/>
    <w:basedOn w:val="1"/>
    <w:qFormat/>
    <w:uiPriority w:val="0"/>
    <w:pPr>
      <w:ind w:left="100" w:leftChars="600" w:hanging="200" w:hangingChars="200"/>
      <w:contextualSpacing/>
    </w:pPr>
  </w:style>
  <w:style w:type="paragraph" w:styleId="77">
    <w:name w:val="List Continue 2"/>
    <w:basedOn w:val="1"/>
    <w:qFormat/>
    <w:uiPriority w:val="0"/>
    <w:pPr>
      <w:spacing w:after="120"/>
      <w:ind w:left="840" w:leftChars="400"/>
      <w:contextualSpacing/>
    </w:pPr>
  </w:style>
  <w:style w:type="paragraph" w:styleId="78">
    <w:name w:val="Message Header"/>
    <w:basedOn w:val="1"/>
    <w:link w:val="116"/>
    <w:qFormat/>
    <w:uiPriority w:val="0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080" w:leftChars="500" w:hanging="1080" w:hangingChars="500"/>
    </w:pPr>
    <w:rPr>
      <w:rFonts w:cstheme="majorBidi"/>
    </w:rPr>
  </w:style>
  <w:style w:type="paragraph" w:styleId="79">
    <w:name w:val="Normal (Web)"/>
    <w:basedOn w:val="1"/>
    <w:qFormat/>
    <w:uiPriority w:val="0"/>
    <w:rPr>
      <w:rFonts w:cs="Times New Roman"/>
    </w:rPr>
  </w:style>
  <w:style w:type="paragraph" w:styleId="80">
    <w:name w:val="List Continue 3"/>
    <w:basedOn w:val="1"/>
    <w:qFormat/>
    <w:uiPriority w:val="0"/>
    <w:pPr>
      <w:spacing w:after="120"/>
      <w:ind w:left="1260" w:leftChars="600"/>
      <w:contextualSpacing/>
    </w:pPr>
  </w:style>
  <w:style w:type="paragraph" w:styleId="81">
    <w:name w:val="index 2"/>
    <w:basedOn w:val="1"/>
    <w:next w:val="1"/>
    <w:qFormat/>
    <w:uiPriority w:val="0"/>
    <w:pPr>
      <w:ind w:left="200" w:leftChars="200" w:firstLine="0"/>
    </w:pPr>
  </w:style>
  <w:style w:type="paragraph" w:styleId="82">
    <w:name w:val="Title"/>
    <w:qFormat/>
    <w:uiPriority w:val="1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spacing w:after="100" w:afterLines="100"/>
      <w:jc w:val="center"/>
      <w:outlineLvl w:val="0"/>
    </w:pPr>
    <w:rPr>
      <w:rFonts w:ascii="宋体" w:hAnsi="宋体" w:eastAsia="宋体" w:cs="Times New Roman"/>
      <w:b/>
      <w:bCs/>
      <w:sz w:val="32"/>
      <w:szCs w:val="32"/>
      <w:lang w:val="en-US" w:eastAsia="zh-CN" w:bidi="ar-SA"/>
    </w:rPr>
  </w:style>
  <w:style w:type="paragraph" w:styleId="83">
    <w:name w:val="annotation subject"/>
    <w:basedOn w:val="28"/>
    <w:next w:val="28"/>
    <w:qFormat/>
    <w:uiPriority w:val="0"/>
    <w:rPr>
      <w:b/>
    </w:rPr>
  </w:style>
  <w:style w:type="paragraph" w:styleId="84">
    <w:name w:val="Body Text First Indent"/>
    <w:basedOn w:val="34"/>
    <w:link w:val="120"/>
    <w:qFormat/>
    <w:uiPriority w:val="0"/>
    <w:pPr>
      <w:spacing w:after="120" w:afterLines="0"/>
      <w:ind w:firstLine="420" w:firstLineChars="100"/>
    </w:pPr>
  </w:style>
  <w:style w:type="paragraph" w:styleId="85">
    <w:name w:val="Body Text First Indent 2"/>
    <w:basedOn w:val="35"/>
    <w:link w:val="122"/>
    <w:qFormat/>
    <w:uiPriority w:val="0"/>
    <w:pPr>
      <w:ind w:firstLine="420"/>
    </w:pPr>
  </w:style>
  <w:style w:type="character" w:styleId="88">
    <w:name w:val="Strong"/>
    <w:basedOn w:val="87"/>
    <w:qFormat/>
    <w:uiPriority w:val="22"/>
    <w:rPr>
      <w:rFonts w:ascii="宋体" w:hAnsi="宋体" w:eastAsia="宋体" w:cs="Times New Roman"/>
      <w:b/>
      <w:bCs/>
      <w:color w:val="auto"/>
      <w:sz w:val="24"/>
      <w:szCs w:val="28"/>
      <w:u w:val="words" w:color="333333"/>
    </w:rPr>
  </w:style>
  <w:style w:type="character" w:styleId="89">
    <w:name w:val="endnote reference"/>
    <w:basedOn w:val="87"/>
    <w:qFormat/>
    <w:uiPriority w:val="0"/>
    <w:rPr>
      <w:rFonts w:ascii="宋体" w:hAnsi="宋体" w:eastAsia="宋体"/>
      <w:vertAlign w:val="superscript"/>
    </w:rPr>
  </w:style>
  <w:style w:type="character" w:styleId="90">
    <w:name w:val="page number"/>
    <w:basedOn w:val="87"/>
    <w:qFormat/>
    <w:uiPriority w:val="0"/>
    <w:rPr>
      <w:rFonts w:ascii="宋体" w:hAnsi="宋体" w:eastAsia="宋体" w:cs="汉仪润圆-65简"/>
      <w:color w:val="7F7F7F" w:themeColor="background1" w:themeShade="80"/>
    </w:rPr>
  </w:style>
  <w:style w:type="character" w:styleId="91">
    <w:name w:val="FollowedHyperlink"/>
    <w:basedOn w:val="87"/>
    <w:qFormat/>
    <w:uiPriority w:val="0"/>
    <w:rPr>
      <w:rFonts w:ascii="宋体" w:hAnsi="宋体" w:eastAsia="宋体"/>
      <w:color w:val="800080"/>
      <w:sz w:val="24"/>
      <w:szCs w:val="24"/>
      <w:u w:val="single"/>
    </w:rPr>
  </w:style>
  <w:style w:type="character" w:styleId="92">
    <w:name w:val="Emphasis"/>
    <w:basedOn w:val="87"/>
    <w:qFormat/>
    <w:uiPriority w:val="20"/>
    <w:rPr>
      <w:rFonts w:ascii="宋体" w:hAnsi="宋体" w:eastAsia="宋体" w:cs="Times New Roman"/>
      <w:b/>
      <w:bCs/>
      <w:color w:val="auto"/>
      <w:sz w:val="24"/>
      <w:szCs w:val="24"/>
      <w:u w:val="none" w:color="C71C31" w:themeColor="accent6" w:themeShade="BF"/>
    </w:rPr>
  </w:style>
  <w:style w:type="character" w:styleId="93">
    <w:name w:val="Hyperlink"/>
    <w:basedOn w:val="87"/>
    <w:qFormat/>
    <w:uiPriority w:val="0"/>
    <w:rPr>
      <w:rFonts w:ascii="宋体" w:hAnsi="宋体" w:eastAsia="宋体"/>
      <w:color w:val="0000FF"/>
      <w:sz w:val="24"/>
      <w:szCs w:val="24"/>
      <w:u w:val="single"/>
    </w:rPr>
  </w:style>
  <w:style w:type="character" w:styleId="94">
    <w:name w:val="annotation reference"/>
    <w:basedOn w:val="87"/>
    <w:qFormat/>
    <w:uiPriority w:val="0"/>
    <w:rPr>
      <w:rFonts w:ascii="宋体" w:hAnsi="宋体" w:eastAsia="宋体"/>
      <w:sz w:val="21"/>
      <w:szCs w:val="21"/>
    </w:rPr>
  </w:style>
  <w:style w:type="character" w:styleId="95">
    <w:name w:val="footnote reference"/>
    <w:basedOn w:val="87"/>
    <w:qFormat/>
    <w:uiPriority w:val="0"/>
    <w:rPr>
      <w:rFonts w:ascii="宋体" w:hAnsi="宋体" w:eastAsia="宋体"/>
      <w:vertAlign w:val="superscript"/>
    </w:rPr>
  </w:style>
  <w:style w:type="paragraph" w:customStyle="1" w:styleId="96">
    <w:name w:val="目录标题"/>
    <w:link w:val="98"/>
    <w:qFormat/>
    <w:uiPriority w:val="0"/>
    <w:pPr>
      <w:jc w:val="center"/>
    </w:pPr>
    <w:rPr>
      <w:rFonts w:ascii="宋体" w:hAnsi="宋体" w:eastAsia="宋体" w:cstheme="minorBidi"/>
      <w:b/>
      <w:bCs/>
      <w:sz w:val="24"/>
      <w:szCs w:val="24"/>
      <w:lang w:val="en-US" w:eastAsia="zh-CN" w:bidi="ar-SA"/>
    </w:rPr>
  </w:style>
  <w:style w:type="character" w:customStyle="1" w:styleId="97">
    <w:name w:val="TOC 1 字符"/>
    <w:link w:val="58"/>
    <w:qFormat/>
    <w:uiPriority w:val="0"/>
  </w:style>
  <w:style w:type="character" w:customStyle="1" w:styleId="98">
    <w:name w:val="目录标题 Char"/>
    <w:link w:val="96"/>
    <w:qFormat/>
    <w:uiPriority w:val="0"/>
    <w:rPr>
      <w:rFonts w:ascii="宋体" w:hAnsi="宋体" w:eastAsia="宋体" w:cstheme="minorBidi"/>
      <w:b/>
      <w:bCs/>
      <w:sz w:val="24"/>
      <w:szCs w:val="24"/>
      <w:lang w:val="en-US" w:eastAsia="zh-CN" w:bidi="ar-SA"/>
    </w:rPr>
  </w:style>
  <w:style w:type="character" w:customStyle="1" w:styleId="99">
    <w:name w:val="TOC 9 字符"/>
    <w:link w:val="74"/>
    <w:qFormat/>
    <w:uiPriority w:val="0"/>
  </w:style>
  <w:style w:type="character" w:customStyle="1" w:styleId="100">
    <w:name w:val="TOC 8 字符"/>
    <w:link w:val="47"/>
    <w:qFormat/>
    <w:uiPriority w:val="0"/>
  </w:style>
  <w:style w:type="paragraph" w:customStyle="1" w:styleId="101">
    <w:name w:val="题注1"/>
    <w:basedOn w:val="1"/>
    <w:qFormat/>
    <w:uiPriority w:val="0"/>
    <w:pPr>
      <w:spacing w:before="50" w:after="50"/>
      <w:ind w:firstLine="0" w:firstLineChars="0"/>
    </w:pPr>
    <w:rPr>
      <w:rFonts w:hint="eastAsia"/>
      <w:sz w:val="20"/>
      <w:szCs w:val="20"/>
    </w:rPr>
  </w:style>
  <w:style w:type="paragraph" w:customStyle="1" w:styleId="102">
    <w:name w:val="章标题"/>
    <w:next w:val="1"/>
    <w:qFormat/>
    <w:uiPriority w:val="0"/>
    <w:pPr>
      <w:keepNext/>
      <w:keepLines/>
      <w:tabs>
        <w:tab w:val="left" w:pos="0"/>
      </w:tabs>
      <w:adjustRightInd w:val="0"/>
      <w:snapToGrid w:val="0"/>
      <w:jc w:val="center"/>
      <w:outlineLvl w:val="0"/>
    </w:pPr>
    <w:rPr>
      <w:rFonts w:ascii="宋体" w:hAnsi="宋体" w:eastAsia="宋体" w:cstheme="minorBidi"/>
      <w:b/>
      <w:bCs/>
      <w:kern w:val="44"/>
      <w:sz w:val="30"/>
      <w:szCs w:val="30"/>
      <w:lang w:val="en-US" w:eastAsia="zh-CN" w:bidi="ar-SA"/>
    </w:rPr>
  </w:style>
  <w:style w:type="paragraph" w:customStyle="1" w:styleId="103">
    <w:name w:val="节标题"/>
    <w:next w:val="1"/>
    <w:qFormat/>
    <w:uiPriority w:val="0"/>
    <w:pPr>
      <w:tabs>
        <w:tab w:val="left" w:pos="0"/>
      </w:tabs>
      <w:adjustRightInd w:val="0"/>
      <w:snapToGrid w:val="0"/>
      <w:jc w:val="center"/>
    </w:pPr>
    <w:rPr>
      <w:rFonts w:ascii="宋体" w:hAnsi="宋体" w:eastAsia="宋体" w:cstheme="minorBidi"/>
      <w:b/>
      <w:bCs/>
      <w:sz w:val="28"/>
      <w:szCs w:val="28"/>
      <w:lang w:val="en-US" w:eastAsia="zh-CN" w:bidi="ar-SA"/>
    </w:rPr>
  </w:style>
  <w:style w:type="character" w:customStyle="1" w:styleId="104">
    <w:name w:val="摘要"/>
    <w:basedOn w:val="87"/>
    <w:qFormat/>
    <w:uiPriority w:val="0"/>
    <w:rPr>
      <w:rFonts w:ascii="宋体" w:hAnsi="宋体" w:eastAsia="宋体"/>
      <w:b/>
      <w:bCs/>
      <w:lang w:val="en-US" w:eastAsia="zh-CN"/>
    </w:rPr>
  </w:style>
  <w:style w:type="character" w:customStyle="1" w:styleId="105">
    <w:name w:val="参考文献条目"/>
    <w:basedOn w:val="87"/>
    <w:qFormat/>
    <w:uiPriority w:val="0"/>
    <w:rPr>
      <w:rFonts w:ascii="宋体" w:hAnsi="宋体" w:eastAsia="宋体"/>
      <w:sz w:val="18"/>
      <w:szCs w:val="18"/>
      <w:lang w:val="en-US" w:eastAsia="zh-CN"/>
    </w:rPr>
  </w:style>
  <w:style w:type="character" w:customStyle="1" w:styleId="106">
    <w:name w:val="关键词"/>
    <w:basedOn w:val="87"/>
    <w:qFormat/>
    <w:uiPriority w:val="0"/>
    <w:rPr>
      <w:rFonts w:ascii="宋体" w:hAnsi="宋体" w:eastAsia="宋体"/>
      <w:b/>
      <w:bCs/>
      <w:lang w:val="en-US" w:eastAsia="zh-CN"/>
    </w:rPr>
  </w:style>
  <w:style w:type="character" w:customStyle="1" w:styleId="107">
    <w:name w:val="着重标题"/>
    <w:basedOn w:val="87"/>
    <w:qFormat/>
    <w:uiPriority w:val="0"/>
    <w:rPr>
      <w:rFonts w:ascii="宋体" w:hAnsi="宋体" w:eastAsia="宋体"/>
      <w:lang w:val="en-US" w:eastAsia="zh-CN"/>
    </w:rPr>
  </w:style>
  <w:style w:type="character" w:customStyle="1" w:styleId="108">
    <w:name w:val="称呼 字符"/>
    <w:basedOn w:val="87"/>
    <w:link w:val="30"/>
    <w:qFormat/>
    <w:uiPriority w:val="0"/>
  </w:style>
  <w:style w:type="character" w:customStyle="1" w:styleId="109">
    <w:name w:val="纯文本 字符"/>
    <w:basedOn w:val="87"/>
    <w:link w:val="44"/>
    <w:qFormat/>
    <w:uiPriority w:val="0"/>
    <w:rPr>
      <w:rFonts w:cs="Courier New"/>
    </w:rPr>
  </w:style>
  <w:style w:type="character" w:customStyle="1" w:styleId="110">
    <w:name w:val="电子邮件签名 字符"/>
    <w:basedOn w:val="87"/>
    <w:link w:val="19"/>
    <w:qFormat/>
    <w:uiPriority w:val="0"/>
  </w:style>
  <w:style w:type="character" w:customStyle="1" w:styleId="111">
    <w:name w:val="宏文本 字符"/>
    <w:basedOn w:val="87"/>
    <w:link w:val="2"/>
    <w:qFormat/>
    <w:uiPriority w:val="0"/>
    <w:rPr>
      <w:rFonts w:ascii="宋体" w:hAnsi="宋体" w:eastAsia="宋体" w:cs="Courier New"/>
      <w:kern w:val="2"/>
      <w:sz w:val="24"/>
      <w:szCs w:val="24"/>
      <w:lang w:val="en-US" w:eastAsia="zh-CN" w:bidi="ar-SA"/>
    </w:rPr>
  </w:style>
  <w:style w:type="character" w:customStyle="1" w:styleId="112">
    <w:name w:val="结束语 字符"/>
    <w:basedOn w:val="87"/>
    <w:link w:val="32"/>
    <w:qFormat/>
    <w:uiPriority w:val="0"/>
  </w:style>
  <w:style w:type="character" w:customStyle="1" w:styleId="113">
    <w:name w:val="签名 字符"/>
    <w:basedOn w:val="87"/>
    <w:link w:val="57"/>
    <w:qFormat/>
    <w:uiPriority w:val="0"/>
  </w:style>
  <w:style w:type="character" w:customStyle="1" w:styleId="114">
    <w:name w:val="日期 字符"/>
    <w:basedOn w:val="87"/>
    <w:link w:val="49"/>
    <w:qFormat/>
    <w:uiPriority w:val="0"/>
  </w:style>
  <w:style w:type="character" w:customStyle="1" w:styleId="115">
    <w:name w:val="文档结构图 字符"/>
    <w:basedOn w:val="87"/>
    <w:link w:val="26"/>
    <w:qFormat/>
    <w:uiPriority w:val="0"/>
    <w:rPr>
      <w:sz w:val="18"/>
      <w:szCs w:val="18"/>
    </w:rPr>
  </w:style>
  <w:style w:type="character" w:customStyle="1" w:styleId="116">
    <w:name w:val="信息标题 字符"/>
    <w:basedOn w:val="87"/>
    <w:link w:val="78"/>
    <w:qFormat/>
    <w:uiPriority w:val="0"/>
    <w:rPr>
      <w:rFonts w:cstheme="majorBidi"/>
    </w:rPr>
  </w:style>
  <w:style w:type="character" w:customStyle="1" w:styleId="117">
    <w:name w:val="正文文本 2 字符"/>
    <w:basedOn w:val="87"/>
    <w:link w:val="75"/>
    <w:qFormat/>
    <w:uiPriority w:val="0"/>
  </w:style>
  <w:style w:type="character" w:customStyle="1" w:styleId="118">
    <w:name w:val="正文文本 3 字符"/>
    <w:basedOn w:val="87"/>
    <w:link w:val="31"/>
    <w:qFormat/>
    <w:uiPriority w:val="0"/>
    <w:rPr>
      <w:sz w:val="16"/>
      <w:szCs w:val="16"/>
    </w:rPr>
  </w:style>
  <w:style w:type="character" w:customStyle="1" w:styleId="119">
    <w:name w:val="正文文本 字符"/>
    <w:basedOn w:val="87"/>
    <w:link w:val="34"/>
    <w:qFormat/>
    <w:uiPriority w:val="0"/>
  </w:style>
  <w:style w:type="character" w:customStyle="1" w:styleId="120">
    <w:name w:val="正文文本首行缩进 字符"/>
    <w:basedOn w:val="119"/>
    <w:link w:val="84"/>
    <w:qFormat/>
    <w:uiPriority w:val="0"/>
  </w:style>
  <w:style w:type="character" w:customStyle="1" w:styleId="121">
    <w:name w:val="正文文本缩进 字符"/>
    <w:basedOn w:val="87"/>
    <w:link w:val="35"/>
    <w:qFormat/>
    <w:uiPriority w:val="0"/>
  </w:style>
  <w:style w:type="character" w:customStyle="1" w:styleId="122">
    <w:name w:val="正文文本首行缩进 2 字符"/>
    <w:basedOn w:val="121"/>
    <w:link w:val="85"/>
    <w:qFormat/>
    <w:uiPriority w:val="0"/>
  </w:style>
  <w:style w:type="character" w:customStyle="1" w:styleId="123">
    <w:name w:val="正文文本缩进 2 字符"/>
    <w:basedOn w:val="87"/>
    <w:link w:val="50"/>
    <w:qFormat/>
    <w:uiPriority w:val="0"/>
  </w:style>
  <w:style w:type="character" w:customStyle="1" w:styleId="124">
    <w:name w:val="正文文本缩进 3 字符"/>
    <w:basedOn w:val="87"/>
    <w:link w:val="69"/>
    <w:qFormat/>
    <w:uiPriority w:val="0"/>
    <w:rPr>
      <w:sz w:val="16"/>
      <w:szCs w:val="16"/>
    </w:rPr>
  </w:style>
  <w:style w:type="character" w:customStyle="1" w:styleId="125">
    <w:name w:val="注释标题 字符"/>
    <w:basedOn w:val="87"/>
    <w:link w:val="16"/>
    <w:qFormat/>
    <w:uiPriority w:val="0"/>
  </w:style>
  <w:style w:type="paragraph" w:customStyle="1" w:styleId="126">
    <w:name w:val="主送对象"/>
    <w:basedOn w:val="30"/>
    <w:qFormat/>
    <w:uiPriority w:val="0"/>
    <w:rPr>
      <w:rFonts w:hint="eastAsia"/>
      <w:color w:val="252525" w:themeColor="text1" w:themeTint="D9"/>
    </w:rPr>
  </w:style>
  <w:style w:type="paragraph" w:customStyle="1" w:styleId="127">
    <w:name w:val="WPSOffice手动目录 1"/>
    <w:qFormat/>
    <w:uiPriority w:val="0"/>
    <w:pPr>
      <w:ind w:leftChars="0"/>
    </w:pPr>
    <w:rPr>
      <w:rFonts w:asciiTheme="minorHAnsi" w:hAnsiTheme="minorHAnsi" w:eastAsiaTheme="minorEastAsia" w:cstheme="minorBidi"/>
      <w:sz w:val="20"/>
      <w:szCs w:val="20"/>
    </w:rPr>
  </w:style>
  <w:style w:type="paragraph" w:customStyle="1" w:styleId="128">
    <w:name w:val="WPSOffice手动目录 2"/>
    <w:qFormat/>
    <w:uiPriority w:val="0"/>
    <w:pPr>
      <w:ind w:leftChars="200"/>
    </w:pPr>
    <w:rPr>
      <w:rFonts w:asciiTheme="minorHAnsi" w:hAnsiTheme="minorHAnsi" w:eastAsiaTheme="minorEastAsia" w:cstheme="minorBidi"/>
      <w:sz w:val="20"/>
      <w:szCs w:val="20"/>
    </w:rPr>
  </w:style>
  <w:style w:type="paragraph" w:customStyle="1" w:styleId="129">
    <w:name w:val="WPSOffice手动目录 3"/>
    <w:qFormat/>
    <w:uiPriority w:val="0"/>
    <w:pPr>
      <w:ind w:leftChars="400"/>
    </w:pPr>
    <w:rPr>
      <w:rFonts w:asciiTheme="minorHAnsi" w:hAnsiTheme="minorHAnsi" w:eastAsiaTheme="minorEastAsia" w:cstheme="minorBidi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14</Pages>
  <Words>5205</Words>
  <Characters>6161</Characters>
  <TotalTime>5</TotalTime>
  <ScaleCrop>false</ScaleCrop>
  <LinksUpToDate>false</LinksUpToDate>
  <CharactersWithSpaces>6225</CharactersWithSpaces>
  <Application>WPS Office_12.1.0.24657_F1E327BC-269C-435d-A152-05C5408002CA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2026-03-19T01:26:00Z</dcterms:created>
  <dc:creator>Apache POI</dc:creator>
  <cp:lastModifiedBy>好久不见</cp:lastModifiedBy>
  <dcterms:modified xsi:type="dcterms:W3CDTF">2026-03-19T02:35:50Z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eyJoZGlkIjoiMTc3ODRkZDc2N2QzMmEwMjVmNDc0MTY1Nzk5ZjZmOTMiLCJ1c2VySWQiOiIyOTk2OTE3MjYifQ==</vt:lpwstr>
  </property>
  <property fmtid="{D5CDD505-2E9C-101B-9397-08002B2CF9AE}" pid="3" name="KSOProductBuildVer">
    <vt:lpwstr>2052-12.1.0.24657</vt:lpwstr>
  </property>
  <property fmtid="{D5CDD505-2E9C-101B-9397-08002B2CF9AE}" pid="4" name="ICV">
    <vt:lpwstr>2302BE06F20B49E1AE64DF280F665DE1_12</vt:lpwstr>
  </property>
</Properties>
</file>