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BC842D">
      <w:pPr>
        <w:pStyle w:val="2"/>
        <w:keepNext w:val="0"/>
        <w:keepLines w:val="0"/>
        <w:pageBreakBefore/>
        <w:widowControl w:val="0"/>
        <w:kinsoku/>
        <w:wordWrap/>
        <w:overflowPunct/>
        <w:topLinePunct w:val="0"/>
        <w:autoSpaceDE/>
        <w:autoSpaceDN/>
        <w:bidi w:val="0"/>
        <w:adjustRightInd/>
        <w:snapToGrid/>
        <w:jc w:val="center"/>
        <w:textAlignment w:val="auto"/>
        <w:rPr>
          <w:rFonts w:hint="default" w:ascii="仿宋" w:hAnsi="仿宋" w:eastAsia="仿宋" w:cs="宋体"/>
          <w:sz w:val="28"/>
        </w:rPr>
      </w:pPr>
      <w:bookmarkStart w:id="0" w:name="_Toc11773"/>
      <w:bookmarkStart w:id="8" w:name="_GoBack"/>
      <w:r>
        <w:rPr>
          <w:rFonts w:hint="default" w:ascii="仿宋" w:hAnsi="仿宋" w:eastAsia="仿宋" w:cs="宋体"/>
          <w:sz w:val="28"/>
        </w:rPr>
        <w:t>采购需求</w:t>
      </w:r>
      <w:bookmarkEnd w:id="0"/>
    </w:p>
    <w:bookmarkEnd w:id="8"/>
    <w:p w14:paraId="5484C08D">
      <w:pPr>
        <w:keepNext w:val="0"/>
        <w:keepLines w:val="0"/>
        <w:pageBreakBefore w:val="0"/>
        <w:widowControl w:val="0"/>
        <w:kinsoku/>
        <w:wordWrap/>
        <w:overflowPunct/>
        <w:topLinePunct w:val="0"/>
        <w:autoSpaceDE/>
        <w:autoSpaceDN/>
        <w:bidi w:val="0"/>
        <w:adjustRightInd/>
        <w:snapToGrid/>
        <w:spacing w:line="440" w:lineRule="exact"/>
        <w:textAlignment w:val="auto"/>
        <w:outlineLvl w:val="0"/>
        <w:rPr>
          <w:rFonts w:hint="eastAsia" w:ascii="黑体" w:hAnsi="黑体" w:eastAsia="黑体" w:cs="黑体"/>
          <w:b/>
          <w:bCs/>
          <w:i w:val="0"/>
          <w:iCs w:val="0"/>
          <w:caps w:val="0"/>
          <w:color w:val="454545"/>
          <w:spacing w:val="2"/>
          <w:kern w:val="0"/>
          <w:sz w:val="28"/>
          <w:szCs w:val="28"/>
          <w:shd w:val="clear" w:fill="FFFFFF"/>
          <w:lang w:val="en-US" w:eastAsia="zh-CN" w:bidi="ar"/>
        </w:rPr>
      </w:pPr>
      <w:bookmarkStart w:id="1" w:name="_Toc24710"/>
      <w:bookmarkEnd w:id="1"/>
      <w:bookmarkStart w:id="2" w:name="_Toc11632"/>
      <w:r>
        <w:rPr>
          <w:rFonts w:hint="eastAsia" w:ascii="黑体" w:hAnsi="黑体" w:eastAsia="黑体" w:cs="黑体"/>
          <w:b/>
          <w:bCs/>
          <w:i w:val="0"/>
          <w:iCs w:val="0"/>
          <w:caps w:val="0"/>
          <w:color w:val="454545"/>
          <w:spacing w:val="2"/>
          <w:kern w:val="0"/>
          <w:sz w:val="28"/>
          <w:szCs w:val="28"/>
          <w:shd w:val="clear" w:fill="FFFFFF"/>
          <w:lang w:val="en-US" w:eastAsia="zh-CN" w:bidi="ar"/>
        </w:rPr>
        <w:t>1、前注</w:t>
      </w:r>
      <w:bookmarkEnd w:id="2"/>
    </w:p>
    <w:p w14:paraId="45684240">
      <w:pPr>
        <w:spacing w:line="360" w:lineRule="auto"/>
        <w:ind w:firstLine="435"/>
        <w:rPr>
          <w:rFonts w:hint="eastAsia" w:ascii="仿宋" w:hAnsi="仿宋" w:eastAsia="仿宋"/>
          <w:sz w:val="24"/>
          <w:szCs w:val="24"/>
          <w:lang w:val="en-US" w:eastAsia="zh-CN"/>
        </w:rPr>
      </w:pPr>
      <w:r>
        <w:rPr>
          <w:rFonts w:hint="eastAsia" w:ascii="仿宋" w:hAnsi="仿宋" w:eastAsia="仿宋"/>
          <w:sz w:val="24"/>
          <w:szCs w:val="24"/>
          <w:lang w:val="en-US" w:eastAsia="zh-CN"/>
        </w:rPr>
        <w:t>本章采购需求所提出的技术要求是对本次招标货物的基本技术要求，并未涉及所有技术细节，也未充分引述有关标准、规范的全部条款。投标供应商应保证其提供的货物除了满足采购需求的要求外，还应符合国家、行业、地方的有关标准、规范（尤其是必须符合国家标准的有关强制性规定)。</w:t>
      </w:r>
    </w:p>
    <w:p w14:paraId="2CA8A0C8">
      <w:pPr>
        <w:keepNext w:val="0"/>
        <w:keepLines w:val="0"/>
        <w:pageBreakBefore w:val="0"/>
        <w:widowControl w:val="0"/>
        <w:numPr>
          <w:ilvl w:val="0"/>
          <w:numId w:val="1"/>
        </w:numPr>
        <w:kinsoku/>
        <w:wordWrap/>
        <w:overflowPunct/>
        <w:topLinePunct w:val="0"/>
        <w:autoSpaceDE/>
        <w:autoSpaceDN/>
        <w:bidi w:val="0"/>
        <w:adjustRightInd/>
        <w:snapToGrid/>
        <w:spacing w:line="440" w:lineRule="exact"/>
        <w:textAlignment w:val="auto"/>
        <w:outlineLvl w:val="0"/>
        <w:rPr>
          <w:rFonts w:hint="eastAsia" w:ascii="黑体" w:hAnsi="黑体" w:eastAsia="黑体" w:cs="黑体"/>
          <w:b/>
          <w:bCs/>
          <w:i w:val="0"/>
          <w:iCs w:val="0"/>
          <w:caps w:val="0"/>
          <w:color w:val="454545"/>
          <w:spacing w:val="2"/>
          <w:kern w:val="0"/>
          <w:sz w:val="28"/>
          <w:szCs w:val="28"/>
          <w:shd w:val="clear" w:fill="FFFFFF"/>
          <w:lang w:val="en-US" w:eastAsia="zh-CN" w:bidi="ar"/>
        </w:rPr>
      </w:pPr>
      <w:bookmarkStart w:id="3" w:name="_Toc30181"/>
      <w:r>
        <w:rPr>
          <w:rFonts w:hint="eastAsia" w:ascii="黑体" w:hAnsi="黑体" w:eastAsia="黑体" w:cs="黑体"/>
          <w:b/>
          <w:bCs/>
          <w:i w:val="0"/>
          <w:iCs w:val="0"/>
          <w:caps w:val="0"/>
          <w:color w:val="454545"/>
          <w:spacing w:val="2"/>
          <w:kern w:val="0"/>
          <w:sz w:val="28"/>
          <w:szCs w:val="28"/>
          <w:shd w:val="clear" w:fill="FFFFFF"/>
          <w:lang w:val="en-US" w:eastAsia="zh-CN" w:bidi="ar"/>
        </w:rPr>
        <w:t>采购明细</w:t>
      </w:r>
      <w:bookmarkEnd w:id="3"/>
    </w:p>
    <w:tbl>
      <w:tblPr>
        <w:tblStyle w:val="4"/>
        <w:tblW w:w="9065" w:type="dxa"/>
        <w:jc w:val="center"/>
        <w:tblLayout w:type="autofit"/>
        <w:tblCellMar>
          <w:top w:w="0" w:type="dxa"/>
          <w:left w:w="108" w:type="dxa"/>
          <w:bottom w:w="0" w:type="dxa"/>
          <w:right w:w="108" w:type="dxa"/>
        </w:tblCellMar>
      </w:tblPr>
      <w:tblGrid>
        <w:gridCol w:w="779"/>
        <w:gridCol w:w="1787"/>
        <w:gridCol w:w="3115"/>
        <w:gridCol w:w="780"/>
        <w:gridCol w:w="780"/>
        <w:gridCol w:w="1824"/>
      </w:tblGrid>
      <w:tr w14:paraId="67666496">
        <w:tblPrEx>
          <w:tblCellMar>
            <w:top w:w="0" w:type="dxa"/>
            <w:left w:w="108" w:type="dxa"/>
            <w:bottom w:w="0" w:type="dxa"/>
            <w:right w:w="108" w:type="dxa"/>
          </w:tblCellMar>
        </w:tblPrEx>
        <w:trPr>
          <w:trHeight w:val="0" w:hRule="atLeast"/>
          <w:tblHeader/>
          <w:jc w:val="center"/>
        </w:trPr>
        <w:tc>
          <w:tcPr>
            <w:tcW w:w="0" w:type="auto"/>
            <w:tcBorders>
              <w:top w:val="nil"/>
              <w:left w:val="single" w:color="auto" w:sz="4" w:space="0"/>
              <w:bottom w:val="single" w:color="auto" w:sz="4" w:space="0"/>
              <w:right w:val="single" w:color="auto" w:sz="4" w:space="0"/>
            </w:tcBorders>
            <w:noWrap/>
            <w:vAlign w:val="center"/>
          </w:tcPr>
          <w:p w14:paraId="013025C0">
            <w:pPr>
              <w:widowControl/>
              <w:snapToGrid w:val="0"/>
              <w:ind w:left="0" w:leftChars="0" w:right="0" w:rightChars="0" w:firstLine="0" w:firstLineChars="0"/>
              <w:jc w:val="center"/>
              <w:rPr>
                <w:rFonts w:hint="eastAsia" w:ascii="仿宋" w:hAnsi="仿宋" w:eastAsia="仿宋" w:cs="仿宋"/>
                <w:b/>
                <w:kern w:val="0"/>
                <w:sz w:val="28"/>
                <w:szCs w:val="28"/>
              </w:rPr>
            </w:pPr>
            <w:r>
              <w:rPr>
                <w:rFonts w:hint="eastAsia" w:ascii="仿宋" w:hAnsi="仿宋" w:eastAsia="仿宋" w:cs="仿宋"/>
                <w:b/>
                <w:kern w:val="0"/>
                <w:sz w:val="28"/>
                <w:szCs w:val="28"/>
              </w:rPr>
              <w:t>序号</w:t>
            </w:r>
          </w:p>
        </w:tc>
        <w:tc>
          <w:tcPr>
            <w:tcW w:w="1787" w:type="dxa"/>
            <w:tcBorders>
              <w:top w:val="nil"/>
              <w:left w:val="nil"/>
              <w:bottom w:val="single" w:color="auto" w:sz="4" w:space="0"/>
              <w:right w:val="single" w:color="auto" w:sz="4" w:space="0"/>
            </w:tcBorders>
            <w:noWrap/>
            <w:vAlign w:val="center"/>
          </w:tcPr>
          <w:p w14:paraId="17630BAD">
            <w:pPr>
              <w:widowControl/>
              <w:snapToGrid w:val="0"/>
              <w:ind w:left="0" w:leftChars="0" w:right="0" w:rightChars="0" w:firstLine="0" w:firstLineChars="0"/>
              <w:jc w:val="center"/>
              <w:rPr>
                <w:rFonts w:hint="eastAsia" w:ascii="仿宋" w:hAnsi="仿宋" w:eastAsia="仿宋" w:cs="仿宋"/>
                <w:b/>
                <w:kern w:val="0"/>
                <w:sz w:val="28"/>
                <w:szCs w:val="28"/>
              </w:rPr>
            </w:pPr>
            <w:bookmarkStart w:id="4" w:name="OLE_LINK84"/>
            <w:bookmarkStart w:id="5" w:name="OLE_LINK83"/>
            <w:r>
              <w:rPr>
                <w:rFonts w:hint="eastAsia" w:ascii="仿宋" w:hAnsi="仿宋" w:eastAsia="仿宋" w:cs="仿宋"/>
                <w:b/>
                <w:kern w:val="0"/>
                <w:sz w:val="28"/>
                <w:szCs w:val="28"/>
              </w:rPr>
              <w:t>名称</w:t>
            </w:r>
            <w:bookmarkEnd w:id="4"/>
            <w:bookmarkEnd w:id="5"/>
          </w:p>
        </w:tc>
        <w:tc>
          <w:tcPr>
            <w:tcW w:w="0" w:type="auto"/>
            <w:tcBorders>
              <w:top w:val="nil"/>
              <w:left w:val="nil"/>
              <w:bottom w:val="single" w:color="auto" w:sz="4" w:space="0"/>
              <w:right w:val="single" w:color="auto" w:sz="4" w:space="0"/>
            </w:tcBorders>
            <w:noWrap w:val="0"/>
            <w:vAlign w:val="center"/>
          </w:tcPr>
          <w:p w14:paraId="3731CD1F">
            <w:pPr>
              <w:widowControl/>
              <w:snapToGrid w:val="0"/>
              <w:ind w:left="0" w:leftChars="0" w:right="0" w:rightChars="0" w:firstLine="0" w:firstLineChars="0"/>
              <w:jc w:val="center"/>
              <w:rPr>
                <w:rFonts w:hint="eastAsia" w:ascii="仿宋" w:hAnsi="仿宋" w:eastAsia="仿宋" w:cs="仿宋"/>
                <w:b/>
                <w:kern w:val="0"/>
                <w:sz w:val="28"/>
                <w:szCs w:val="28"/>
              </w:rPr>
            </w:pPr>
            <w:r>
              <w:rPr>
                <w:rFonts w:hint="eastAsia" w:ascii="仿宋" w:hAnsi="仿宋" w:eastAsia="仿宋" w:cs="仿宋"/>
                <w:b/>
                <w:kern w:val="0"/>
                <w:sz w:val="28"/>
                <w:szCs w:val="28"/>
              </w:rPr>
              <w:t>规格/要求</w:t>
            </w:r>
          </w:p>
        </w:tc>
        <w:tc>
          <w:tcPr>
            <w:tcW w:w="0" w:type="auto"/>
            <w:tcBorders>
              <w:top w:val="nil"/>
              <w:left w:val="nil"/>
              <w:bottom w:val="single" w:color="auto" w:sz="4" w:space="0"/>
              <w:right w:val="single" w:color="auto" w:sz="4" w:space="0"/>
            </w:tcBorders>
            <w:noWrap/>
            <w:vAlign w:val="center"/>
          </w:tcPr>
          <w:p w14:paraId="1EE24746">
            <w:pPr>
              <w:widowControl/>
              <w:snapToGrid w:val="0"/>
              <w:ind w:left="0" w:leftChars="0" w:right="0" w:rightChars="0" w:firstLine="0" w:firstLineChars="0"/>
              <w:jc w:val="center"/>
              <w:rPr>
                <w:rFonts w:hint="eastAsia" w:ascii="仿宋" w:hAnsi="仿宋" w:eastAsia="仿宋" w:cs="仿宋"/>
                <w:b/>
                <w:kern w:val="0"/>
                <w:sz w:val="28"/>
                <w:szCs w:val="28"/>
              </w:rPr>
            </w:pPr>
            <w:r>
              <w:rPr>
                <w:rFonts w:hint="eastAsia" w:ascii="仿宋" w:hAnsi="仿宋" w:eastAsia="仿宋" w:cs="仿宋"/>
                <w:b/>
                <w:kern w:val="0"/>
                <w:sz w:val="28"/>
                <w:szCs w:val="28"/>
              </w:rPr>
              <w:t>单位</w:t>
            </w:r>
          </w:p>
        </w:tc>
        <w:tc>
          <w:tcPr>
            <w:tcW w:w="0" w:type="auto"/>
            <w:tcBorders>
              <w:top w:val="nil"/>
              <w:left w:val="nil"/>
              <w:bottom w:val="single" w:color="auto" w:sz="4" w:space="0"/>
              <w:right w:val="single" w:color="auto" w:sz="4" w:space="0"/>
            </w:tcBorders>
            <w:noWrap/>
            <w:vAlign w:val="center"/>
          </w:tcPr>
          <w:p w14:paraId="6E5157D7">
            <w:pPr>
              <w:widowControl/>
              <w:snapToGrid w:val="0"/>
              <w:ind w:left="0" w:leftChars="0" w:right="0" w:rightChars="0" w:firstLine="0" w:firstLineChars="0"/>
              <w:jc w:val="center"/>
              <w:rPr>
                <w:rFonts w:hint="eastAsia" w:ascii="仿宋" w:hAnsi="仿宋" w:eastAsia="仿宋" w:cs="仿宋"/>
                <w:b/>
                <w:kern w:val="0"/>
                <w:sz w:val="28"/>
                <w:szCs w:val="28"/>
              </w:rPr>
            </w:pPr>
            <w:r>
              <w:rPr>
                <w:rFonts w:hint="eastAsia" w:ascii="仿宋" w:hAnsi="仿宋" w:eastAsia="仿宋" w:cs="仿宋"/>
                <w:b/>
                <w:kern w:val="0"/>
                <w:sz w:val="28"/>
                <w:szCs w:val="28"/>
              </w:rPr>
              <w:t>数量</w:t>
            </w:r>
          </w:p>
        </w:tc>
        <w:tc>
          <w:tcPr>
            <w:tcW w:w="1824" w:type="dxa"/>
            <w:tcBorders>
              <w:top w:val="nil"/>
              <w:left w:val="nil"/>
              <w:bottom w:val="single" w:color="auto" w:sz="4" w:space="0"/>
              <w:right w:val="single" w:color="auto" w:sz="4" w:space="0"/>
            </w:tcBorders>
            <w:noWrap/>
            <w:vAlign w:val="center"/>
          </w:tcPr>
          <w:p w14:paraId="5E4DD79D">
            <w:pPr>
              <w:widowControl/>
              <w:snapToGrid w:val="0"/>
              <w:ind w:left="0" w:leftChars="0" w:right="0" w:rightChars="0" w:firstLine="0" w:firstLineChars="0"/>
              <w:jc w:val="center"/>
              <w:rPr>
                <w:rFonts w:hint="eastAsia" w:ascii="仿宋" w:hAnsi="仿宋" w:eastAsia="仿宋" w:cs="仿宋"/>
                <w:b/>
                <w:color w:val="000000"/>
                <w:kern w:val="0"/>
                <w:sz w:val="28"/>
                <w:szCs w:val="28"/>
              </w:rPr>
            </w:pPr>
            <w:r>
              <w:rPr>
                <w:rFonts w:hint="eastAsia" w:ascii="仿宋" w:hAnsi="仿宋" w:eastAsia="仿宋" w:cs="仿宋"/>
                <w:b/>
                <w:color w:val="000000"/>
                <w:kern w:val="0"/>
                <w:sz w:val="28"/>
                <w:szCs w:val="28"/>
              </w:rPr>
              <w:t>备注</w:t>
            </w:r>
          </w:p>
        </w:tc>
      </w:tr>
      <w:tr w14:paraId="251CB7B4">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nil"/>
              <w:right w:val="single" w:color="auto" w:sz="4" w:space="0"/>
            </w:tcBorders>
            <w:noWrap/>
            <w:vAlign w:val="center"/>
          </w:tcPr>
          <w:p w14:paraId="75F654C3">
            <w:pPr>
              <w:snapToGrid w:val="0"/>
              <w:spacing w:line="240" w:lineRule="auto"/>
              <w:ind w:left="0" w:leftChars="0" w:right="0" w:rightChars="0" w:firstLine="0" w:firstLineChars="0"/>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1</w:t>
            </w:r>
          </w:p>
        </w:tc>
        <w:tc>
          <w:tcPr>
            <w:tcW w:w="1787" w:type="dxa"/>
            <w:tcBorders>
              <w:top w:val="nil"/>
              <w:left w:val="nil"/>
              <w:bottom w:val="nil"/>
              <w:right w:val="single" w:color="auto" w:sz="4" w:space="0"/>
            </w:tcBorders>
            <w:noWrap w:val="0"/>
            <w:vAlign w:val="center"/>
          </w:tcPr>
          <w:p w14:paraId="270180CD">
            <w:pPr>
              <w:snapToGrid w:val="0"/>
              <w:spacing w:line="240" w:lineRule="auto"/>
              <w:ind w:left="0" w:leftChars="0" w:right="0" w:rightChars="0" w:firstLine="0" w:firstLineChars="0"/>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柳树</w:t>
            </w:r>
          </w:p>
        </w:tc>
        <w:tc>
          <w:tcPr>
            <w:tcW w:w="0" w:type="auto"/>
            <w:tcBorders>
              <w:top w:val="nil"/>
              <w:left w:val="nil"/>
              <w:bottom w:val="nil"/>
              <w:right w:val="single" w:color="auto" w:sz="4" w:space="0"/>
            </w:tcBorders>
            <w:noWrap w:val="0"/>
            <w:vAlign w:val="center"/>
          </w:tcPr>
          <w:p w14:paraId="4CB9DE42">
            <w:pPr>
              <w:snapToGrid w:val="0"/>
              <w:spacing w:line="240" w:lineRule="auto"/>
              <w:ind w:left="0" w:leftChars="0" w:right="0" w:rightChars="0" w:firstLine="0" w:firstLineChars="0"/>
              <w:jc w:val="left"/>
              <w:rPr>
                <w:rFonts w:hint="eastAsia" w:ascii="仿宋" w:hAnsi="仿宋" w:eastAsia="仿宋"/>
                <w:sz w:val="24"/>
                <w:szCs w:val="24"/>
                <w:lang w:val="en-US" w:eastAsia="zh-CN"/>
              </w:rPr>
            </w:pPr>
            <w:r>
              <w:rPr>
                <w:rFonts w:hint="eastAsia" w:ascii="仿宋" w:hAnsi="仿宋" w:eastAsia="仿宋"/>
                <w:sz w:val="24"/>
                <w:szCs w:val="24"/>
                <w:lang w:val="en-US" w:eastAsia="zh-CN"/>
              </w:rPr>
              <w:t>原生冠、无断尖、无偏冠、胸径 14–16cm、树高 5–6m、冠幅 4–5m、土球完整、带检疫证</w:t>
            </w:r>
          </w:p>
        </w:tc>
        <w:tc>
          <w:tcPr>
            <w:tcW w:w="0" w:type="auto"/>
            <w:tcBorders>
              <w:top w:val="nil"/>
              <w:left w:val="nil"/>
              <w:bottom w:val="nil"/>
              <w:right w:val="single" w:color="auto" w:sz="4" w:space="0"/>
            </w:tcBorders>
            <w:noWrap/>
            <w:vAlign w:val="center"/>
          </w:tcPr>
          <w:p w14:paraId="1C695FDD">
            <w:pPr>
              <w:snapToGrid w:val="0"/>
              <w:spacing w:line="240" w:lineRule="auto"/>
              <w:ind w:left="0" w:leftChars="0" w:right="0" w:rightChars="0" w:firstLine="0" w:firstLineChars="0"/>
              <w:jc w:val="left"/>
              <w:rPr>
                <w:rFonts w:hint="eastAsia" w:ascii="仿宋" w:hAnsi="仿宋" w:eastAsia="仿宋"/>
                <w:sz w:val="24"/>
                <w:szCs w:val="24"/>
                <w:lang w:val="en-US" w:eastAsia="zh-CN"/>
              </w:rPr>
            </w:pPr>
            <w:r>
              <w:rPr>
                <w:rFonts w:hint="eastAsia" w:ascii="仿宋" w:hAnsi="仿宋" w:eastAsia="仿宋"/>
                <w:sz w:val="24"/>
                <w:szCs w:val="24"/>
                <w:lang w:val="en-US" w:eastAsia="zh-CN"/>
              </w:rPr>
              <w:t>株</w:t>
            </w:r>
          </w:p>
        </w:tc>
        <w:tc>
          <w:tcPr>
            <w:tcW w:w="0" w:type="auto"/>
            <w:tcBorders>
              <w:top w:val="nil"/>
              <w:left w:val="nil"/>
              <w:bottom w:val="nil"/>
              <w:right w:val="single" w:color="auto" w:sz="4" w:space="0"/>
            </w:tcBorders>
            <w:noWrap/>
            <w:vAlign w:val="center"/>
          </w:tcPr>
          <w:p w14:paraId="16B6C949">
            <w:pPr>
              <w:snapToGrid w:val="0"/>
              <w:spacing w:line="240" w:lineRule="auto"/>
              <w:ind w:left="0" w:leftChars="0" w:right="0" w:rightChars="0" w:firstLine="0" w:firstLineChars="0"/>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300</w:t>
            </w:r>
          </w:p>
        </w:tc>
        <w:tc>
          <w:tcPr>
            <w:tcW w:w="1824" w:type="dxa"/>
            <w:tcBorders>
              <w:top w:val="nil"/>
              <w:left w:val="nil"/>
              <w:bottom w:val="nil"/>
              <w:right w:val="single" w:color="auto" w:sz="4" w:space="0"/>
            </w:tcBorders>
            <w:noWrap w:val="0"/>
            <w:vAlign w:val="center"/>
          </w:tcPr>
          <w:p w14:paraId="1AE13B9E">
            <w:pPr>
              <w:snapToGrid w:val="0"/>
              <w:spacing w:line="240" w:lineRule="auto"/>
              <w:ind w:left="0" w:leftChars="0" w:right="0" w:rightChars="0" w:firstLine="0" w:firstLineChars="0"/>
              <w:jc w:val="center"/>
              <w:rPr>
                <w:rFonts w:hint="default" w:ascii="仿宋" w:hAnsi="仿宋" w:eastAsia="仿宋"/>
                <w:sz w:val="24"/>
                <w:szCs w:val="24"/>
                <w:lang w:val="en-US" w:eastAsia="zh-CN"/>
              </w:rPr>
            </w:pPr>
            <w:r>
              <w:rPr>
                <w:rFonts w:hint="eastAsia" w:ascii="仿宋" w:hAnsi="仿宋" w:eastAsia="仿宋"/>
                <w:sz w:val="24"/>
                <w:szCs w:val="24"/>
                <w:lang w:val="en-US" w:eastAsia="zh-CN"/>
              </w:rPr>
              <w:t>1. 树干通直、树形饱满、长势健壮2. 无病虫害、无蛀干、无破皮、无弱苗3. 土球完整，土球直径≥胸径 8–10 倍，不散球、不晾根</w:t>
            </w:r>
          </w:p>
        </w:tc>
      </w:tr>
      <w:tr w14:paraId="0690FE45">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nil"/>
              <w:right w:val="single" w:color="auto" w:sz="4" w:space="0"/>
            </w:tcBorders>
            <w:noWrap/>
            <w:vAlign w:val="center"/>
          </w:tcPr>
          <w:p w14:paraId="6F8D3929">
            <w:pPr>
              <w:snapToGrid w:val="0"/>
              <w:spacing w:line="240" w:lineRule="auto"/>
              <w:ind w:left="0" w:leftChars="0" w:right="0" w:rightChars="0" w:firstLine="0" w:firstLineChars="0"/>
              <w:jc w:val="center"/>
              <w:rPr>
                <w:rFonts w:hint="default" w:ascii="仿宋" w:hAnsi="仿宋" w:eastAsia="仿宋"/>
                <w:sz w:val="24"/>
                <w:szCs w:val="24"/>
                <w:lang w:val="en-US" w:eastAsia="zh-CN"/>
              </w:rPr>
            </w:pPr>
            <w:bookmarkStart w:id="6" w:name="_Toc7372"/>
            <w:r>
              <w:rPr>
                <w:rFonts w:hint="eastAsia" w:ascii="仿宋" w:hAnsi="仿宋" w:eastAsia="仿宋"/>
                <w:sz w:val="24"/>
                <w:szCs w:val="24"/>
                <w:lang w:val="en-US" w:eastAsia="zh-CN"/>
              </w:rPr>
              <w:t>2</w:t>
            </w:r>
          </w:p>
        </w:tc>
        <w:tc>
          <w:tcPr>
            <w:tcW w:w="1787" w:type="dxa"/>
            <w:tcBorders>
              <w:top w:val="nil"/>
              <w:left w:val="nil"/>
              <w:bottom w:val="nil"/>
              <w:right w:val="single" w:color="auto" w:sz="4" w:space="0"/>
            </w:tcBorders>
            <w:noWrap w:val="0"/>
            <w:vAlign w:val="center"/>
          </w:tcPr>
          <w:p w14:paraId="5606ABAB">
            <w:pPr>
              <w:snapToGrid w:val="0"/>
              <w:spacing w:line="240" w:lineRule="auto"/>
              <w:ind w:left="0" w:leftChars="0" w:right="0" w:rightChars="0" w:firstLine="0" w:firstLineChars="0"/>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树穴石材</w:t>
            </w:r>
          </w:p>
        </w:tc>
        <w:tc>
          <w:tcPr>
            <w:tcW w:w="0" w:type="auto"/>
            <w:tcBorders>
              <w:top w:val="nil"/>
              <w:left w:val="nil"/>
              <w:bottom w:val="nil"/>
              <w:right w:val="single" w:color="auto" w:sz="4" w:space="0"/>
            </w:tcBorders>
            <w:noWrap w:val="0"/>
            <w:vAlign w:val="center"/>
          </w:tcPr>
          <w:p w14:paraId="1AA83B5D">
            <w:pPr>
              <w:snapToGrid w:val="0"/>
              <w:spacing w:line="240" w:lineRule="auto"/>
              <w:ind w:left="0" w:leftChars="0" w:right="0" w:rightChars="0" w:firstLine="0" w:firstLineChars="0"/>
              <w:jc w:val="left"/>
              <w:rPr>
                <w:rFonts w:hint="eastAsia" w:ascii="仿宋" w:hAnsi="仿宋" w:eastAsia="仿宋"/>
                <w:sz w:val="24"/>
                <w:szCs w:val="24"/>
                <w:lang w:val="en-US" w:eastAsia="zh-CN"/>
              </w:rPr>
            </w:pPr>
            <w:r>
              <w:rPr>
                <w:rFonts w:hint="eastAsia" w:ascii="仿宋" w:hAnsi="仿宋" w:eastAsia="仿宋"/>
                <w:sz w:val="24"/>
                <w:szCs w:val="24"/>
                <w:lang w:val="en-US" w:eastAsia="zh-CN"/>
              </w:rPr>
              <w:t>花岗岩树池石 1200×200×50mm，树池内径≥1.5m×1.5m，45° 对角拼接</w:t>
            </w:r>
          </w:p>
        </w:tc>
        <w:tc>
          <w:tcPr>
            <w:tcW w:w="0" w:type="auto"/>
            <w:tcBorders>
              <w:top w:val="nil"/>
              <w:left w:val="nil"/>
              <w:bottom w:val="nil"/>
              <w:right w:val="single" w:color="auto" w:sz="4" w:space="0"/>
            </w:tcBorders>
            <w:noWrap/>
            <w:vAlign w:val="center"/>
          </w:tcPr>
          <w:p w14:paraId="6C51F950">
            <w:pPr>
              <w:snapToGrid w:val="0"/>
              <w:spacing w:line="240" w:lineRule="auto"/>
              <w:ind w:left="0" w:leftChars="0" w:right="0" w:rightChars="0" w:firstLine="0" w:firstLineChars="0"/>
              <w:jc w:val="left"/>
              <w:rPr>
                <w:rFonts w:hint="eastAsia" w:ascii="仿宋" w:hAnsi="仿宋" w:eastAsia="仿宋"/>
                <w:sz w:val="24"/>
                <w:szCs w:val="24"/>
                <w:lang w:val="en-US" w:eastAsia="zh-CN"/>
              </w:rPr>
            </w:pPr>
            <w:r>
              <w:rPr>
                <w:rFonts w:ascii="仿宋" w:hAnsi="宋体" w:eastAsia="仿宋" w:cs="宋体"/>
                <w:sz w:val="24"/>
                <w:szCs w:val="24"/>
              </w:rPr>
              <w:t>套</w:t>
            </w:r>
          </w:p>
        </w:tc>
        <w:tc>
          <w:tcPr>
            <w:tcW w:w="0" w:type="auto"/>
            <w:tcBorders>
              <w:top w:val="nil"/>
              <w:left w:val="nil"/>
              <w:bottom w:val="nil"/>
              <w:right w:val="single" w:color="auto" w:sz="4" w:space="0"/>
            </w:tcBorders>
            <w:noWrap/>
            <w:vAlign w:val="center"/>
          </w:tcPr>
          <w:p w14:paraId="5818AAEC">
            <w:pPr>
              <w:snapToGrid w:val="0"/>
              <w:spacing w:line="240" w:lineRule="auto"/>
              <w:ind w:left="0" w:leftChars="0" w:right="0" w:rightChars="0" w:firstLine="0" w:firstLineChars="0"/>
              <w:jc w:val="center"/>
              <w:rPr>
                <w:rFonts w:hint="default" w:ascii="仿宋" w:hAnsi="仿宋" w:eastAsia="仿宋"/>
                <w:sz w:val="24"/>
                <w:szCs w:val="24"/>
                <w:lang w:val="en-US" w:eastAsia="zh-CN"/>
              </w:rPr>
            </w:pPr>
            <w:r>
              <w:rPr>
                <w:rFonts w:hint="eastAsia" w:ascii="仿宋" w:hAnsi="仿宋" w:eastAsia="仿宋"/>
                <w:sz w:val="24"/>
                <w:szCs w:val="24"/>
                <w:lang w:val="en-US" w:eastAsia="zh-CN"/>
              </w:rPr>
              <w:t>300</w:t>
            </w:r>
          </w:p>
        </w:tc>
        <w:tc>
          <w:tcPr>
            <w:tcW w:w="1824" w:type="dxa"/>
            <w:tcBorders>
              <w:top w:val="nil"/>
              <w:left w:val="nil"/>
              <w:bottom w:val="nil"/>
              <w:right w:val="single" w:color="auto" w:sz="4" w:space="0"/>
            </w:tcBorders>
            <w:noWrap w:val="0"/>
            <w:vAlign w:val="center"/>
          </w:tcPr>
          <w:p w14:paraId="1D1C2EF9">
            <w:pPr>
              <w:snapToGrid w:val="0"/>
              <w:spacing w:line="240" w:lineRule="auto"/>
              <w:ind w:left="0" w:leftChars="0" w:right="0" w:rightChars="0" w:firstLine="0" w:firstLineChars="0"/>
              <w:jc w:val="center"/>
              <w:rPr>
                <w:rFonts w:hint="eastAsia" w:ascii="仿宋" w:hAnsi="仿宋" w:eastAsia="仿宋"/>
                <w:sz w:val="24"/>
                <w:szCs w:val="24"/>
                <w:lang w:val="en-US" w:eastAsia="zh-CN"/>
              </w:rPr>
            </w:pPr>
          </w:p>
        </w:tc>
      </w:tr>
      <w:tr w14:paraId="079E045E">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nil"/>
              <w:right w:val="single" w:color="auto" w:sz="4" w:space="0"/>
            </w:tcBorders>
            <w:noWrap/>
            <w:vAlign w:val="center"/>
          </w:tcPr>
          <w:p w14:paraId="20AF8D1F">
            <w:pPr>
              <w:snapToGrid w:val="0"/>
              <w:spacing w:line="240" w:lineRule="auto"/>
              <w:ind w:left="0" w:leftChars="0" w:right="0" w:rightChars="0" w:firstLine="0" w:firstLineChars="0"/>
              <w:jc w:val="center"/>
              <w:rPr>
                <w:rFonts w:hint="default" w:ascii="仿宋" w:hAnsi="仿宋" w:eastAsia="仿宋"/>
                <w:sz w:val="24"/>
                <w:szCs w:val="24"/>
                <w:lang w:val="en-US" w:eastAsia="zh-CN"/>
              </w:rPr>
            </w:pPr>
            <w:r>
              <w:rPr>
                <w:rFonts w:hint="eastAsia" w:ascii="仿宋" w:hAnsi="仿宋" w:eastAsia="仿宋"/>
                <w:sz w:val="24"/>
                <w:szCs w:val="24"/>
                <w:lang w:val="en-US" w:eastAsia="zh-CN"/>
              </w:rPr>
              <w:t>3</w:t>
            </w:r>
          </w:p>
        </w:tc>
        <w:tc>
          <w:tcPr>
            <w:tcW w:w="1787" w:type="dxa"/>
            <w:tcBorders>
              <w:top w:val="nil"/>
              <w:left w:val="nil"/>
              <w:bottom w:val="nil"/>
              <w:right w:val="single" w:color="auto" w:sz="4" w:space="0"/>
            </w:tcBorders>
            <w:noWrap w:val="0"/>
            <w:vAlign w:val="center"/>
          </w:tcPr>
          <w:p w14:paraId="5E430008">
            <w:pPr>
              <w:snapToGrid w:val="0"/>
              <w:spacing w:line="240" w:lineRule="auto"/>
              <w:ind w:left="0" w:leftChars="0" w:right="0" w:rightChars="0" w:firstLine="0" w:firstLineChars="0"/>
              <w:jc w:val="center"/>
              <w:rPr>
                <w:rFonts w:hint="eastAsia" w:ascii="仿宋" w:hAnsi="仿宋" w:eastAsia="仿宋"/>
                <w:sz w:val="24"/>
                <w:szCs w:val="24"/>
                <w:lang w:val="en-US" w:eastAsia="zh-CN"/>
              </w:rPr>
            </w:pPr>
            <w:r>
              <w:rPr>
                <w:rFonts w:ascii="仿宋" w:hAnsi="宋体" w:eastAsia="仿宋" w:cs="宋体"/>
                <w:sz w:val="24"/>
                <w:szCs w:val="24"/>
              </w:rPr>
              <w:t>原有树穴石材</w:t>
            </w:r>
          </w:p>
        </w:tc>
        <w:tc>
          <w:tcPr>
            <w:tcW w:w="0" w:type="auto"/>
            <w:tcBorders>
              <w:top w:val="nil"/>
              <w:left w:val="nil"/>
              <w:bottom w:val="nil"/>
              <w:right w:val="single" w:color="auto" w:sz="4" w:space="0"/>
            </w:tcBorders>
            <w:noWrap w:val="0"/>
            <w:vAlign w:val="center"/>
          </w:tcPr>
          <w:p w14:paraId="105488A9">
            <w:pPr>
              <w:snapToGrid w:val="0"/>
              <w:spacing w:line="240" w:lineRule="auto"/>
              <w:ind w:left="0" w:leftChars="0" w:right="0" w:rightChars="0" w:firstLine="0" w:firstLineChars="0"/>
              <w:jc w:val="left"/>
              <w:rPr>
                <w:rFonts w:hint="eastAsia" w:ascii="仿宋" w:hAnsi="仿宋" w:eastAsia="仿宋"/>
                <w:sz w:val="24"/>
                <w:szCs w:val="24"/>
                <w:lang w:val="en-US" w:eastAsia="zh-CN"/>
              </w:rPr>
            </w:pPr>
            <w:r>
              <w:rPr>
                <w:rFonts w:ascii="仿宋" w:hAnsi="宋体" w:eastAsia="仿宋" w:cs="宋体"/>
                <w:sz w:val="24"/>
                <w:szCs w:val="24"/>
              </w:rPr>
              <w:t>拆除、清运、修复</w:t>
            </w:r>
          </w:p>
        </w:tc>
        <w:tc>
          <w:tcPr>
            <w:tcW w:w="0" w:type="auto"/>
            <w:tcBorders>
              <w:top w:val="nil"/>
              <w:left w:val="nil"/>
              <w:bottom w:val="nil"/>
              <w:right w:val="single" w:color="auto" w:sz="4" w:space="0"/>
            </w:tcBorders>
            <w:noWrap/>
            <w:vAlign w:val="center"/>
          </w:tcPr>
          <w:p w14:paraId="1E339CC3">
            <w:pPr>
              <w:snapToGrid w:val="0"/>
              <w:spacing w:line="240" w:lineRule="auto"/>
              <w:ind w:left="0" w:leftChars="0" w:right="0" w:rightChars="0" w:firstLine="0" w:firstLineChars="0"/>
              <w:jc w:val="left"/>
              <w:rPr>
                <w:rFonts w:hint="default" w:ascii="仿宋" w:hAnsi="仿宋" w:eastAsia="仿宋"/>
                <w:sz w:val="24"/>
                <w:szCs w:val="24"/>
                <w:lang w:val="en-US" w:eastAsia="zh-CN"/>
              </w:rPr>
            </w:pPr>
            <w:r>
              <w:rPr>
                <w:rFonts w:hint="eastAsia" w:ascii="仿宋" w:hAnsi="仿宋" w:eastAsia="仿宋"/>
                <w:sz w:val="24"/>
                <w:szCs w:val="24"/>
                <w:lang w:val="en-US" w:eastAsia="zh-CN"/>
              </w:rPr>
              <w:t>项</w:t>
            </w:r>
          </w:p>
        </w:tc>
        <w:tc>
          <w:tcPr>
            <w:tcW w:w="0" w:type="auto"/>
            <w:tcBorders>
              <w:top w:val="nil"/>
              <w:left w:val="nil"/>
              <w:bottom w:val="nil"/>
              <w:right w:val="single" w:color="auto" w:sz="4" w:space="0"/>
            </w:tcBorders>
            <w:noWrap/>
            <w:vAlign w:val="center"/>
          </w:tcPr>
          <w:p w14:paraId="5D1AD5F6">
            <w:pPr>
              <w:snapToGrid w:val="0"/>
              <w:spacing w:line="240" w:lineRule="auto"/>
              <w:ind w:left="0" w:leftChars="0" w:right="0" w:rightChars="0" w:firstLine="0" w:firstLineChars="0"/>
              <w:jc w:val="center"/>
              <w:rPr>
                <w:rFonts w:hint="default" w:ascii="仿宋" w:hAnsi="仿宋" w:eastAsia="仿宋"/>
                <w:sz w:val="24"/>
                <w:szCs w:val="24"/>
                <w:lang w:val="en-US" w:eastAsia="zh-CN"/>
              </w:rPr>
            </w:pPr>
            <w:r>
              <w:rPr>
                <w:rFonts w:hint="eastAsia" w:ascii="仿宋" w:hAnsi="仿宋" w:eastAsia="仿宋"/>
                <w:sz w:val="24"/>
                <w:szCs w:val="24"/>
                <w:lang w:val="en-US" w:eastAsia="zh-CN"/>
              </w:rPr>
              <w:t>1</w:t>
            </w:r>
          </w:p>
        </w:tc>
        <w:tc>
          <w:tcPr>
            <w:tcW w:w="1824" w:type="dxa"/>
            <w:tcBorders>
              <w:top w:val="nil"/>
              <w:left w:val="nil"/>
              <w:bottom w:val="nil"/>
              <w:right w:val="single" w:color="auto" w:sz="4" w:space="0"/>
            </w:tcBorders>
            <w:noWrap w:val="0"/>
            <w:vAlign w:val="center"/>
          </w:tcPr>
          <w:p w14:paraId="58C3D0CE">
            <w:pPr>
              <w:snapToGrid w:val="0"/>
              <w:spacing w:line="240" w:lineRule="auto"/>
              <w:ind w:left="0" w:leftChars="0" w:right="0" w:rightChars="0" w:firstLine="0" w:firstLineChars="0"/>
              <w:jc w:val="center"/>
              <w:rPr>
                <w:rFonts w:hint="eastAsia" w:ascii="仿宋" w:hAnsi="仿宋" w:eastAsia="仿宋"/>
                <w:sz w:val="24"/>
                <w:szCs w:val="24"/>
                <w:lang w:val="en-US" w:eastAsia="zh-CN"/>
              </w:rPr>
            </w:pPr>
          </w:p>
        </w:tc>
      </w:tr>
      <w:tr w14:paraId="2B3597C8">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nil"/>
              <w:right w:val="single" w:color="auto" w:sz="4" w:space="0"/>
            </w:tcBorders>
            <w:noWrap/>
            <w:vAlign w:val="center"/>
          </w:tcPr>
          <w:p w14:paraId="73695CD1">
            <w:pPr>
              <w:snapToGrid w:val="0"/>
              <w:spacing w:line="240" w:lineRule="auto"/>
              <w:ind w:left="0" w:leftChars="0" w:right="0" w:rightChars="0" w:firstLine="0" w:firstLineChars="0"/>
              <w:jc w:val="center"/>
              <w:rPr>
                <w:rFonts w:hint="default" w:ascii="仿宋" w:hAnsi="仿宋" w:eastAsia="仿宋"/>
                <w:sz w:val="24"/>
                <w:szCs w:val="24"/>
                <w:lang w:val="en-US" w:eastAsia="zh-CN"/>
              </w:rPr>
            </w:pPr>
            <w:r>
              <w:rPr>
                <w:rFonts w:hint="eastAsia" w:ascii="仿宋" w:hAnsi="仿宋" w:eastAsia="仿宋"/>
                <w:sz w:val="24"/>
                <w:szCs w:val="24"/>
                <w:lang w:val="en-US" w:eastAsia="zh-CN"/>
              </w:rPr>
              <w:t>4</w:t>
            </w:r>
          </w:p>
        </w:tc>
        <w:tc>
          <w:tcPr>
            <w:tcW w:w="1787" w:type="dxa"/>
            <w:tcBorders>
              <w:top w:val="nil"/>
              <w:left w:val="nil"/>
              <w:bottom w:val="nil"/>
              <w:right w:val="single" w:color="auto" w:sz="4" w:space="0"/>
            </w:tcBorders>
            <w:noWrap w:val="0"/>
            <w:vAlign w:val="center"/>
          </w:tcPr>
          <w:p w14:paraId="5FED7D7E">
            <w:pPr>
              <w:snapToGrid w:val="0"/>
              <w:spacing w:line="240" w:lineRule="auto"/>
              <w:ind w:left="0" w:leftChars="0" w:right="0" w:rightChars="0" w:firstLine="0" w:firstLineChars="0"/>
              <w:jc w:val="center"/>
              <w:rPr>
                <w:rFonts w:hint="eastAsia" w:ascii="仿宋" w:hAnsi="仿宋" w:eastAsia="仿宋"/>
                <w:sz w:val="24"/>
                <w:szCs w:val="24"/>
                <w:lang w:val="en-US" w:eastAsia="zh-CN"/>
              </w:rPr>
            </w:pPr>
            <w:r>
              <w:rPr>
                <w:rFonts w:ascii="仿宋" w:hAnsi="宋体" w:eastAsia="仿宋" w:cs="宋体"/>
                <w:sz w:val="24"/>
                <w:szCs w:val="24"/>
              </w:rPr>
              <w:t>原有垂柳修剪</w:t>
            </w:r>
          </w:p>
        </w:tc>
        <w:tc>
          <w:tcPr>
            <w:tcW w:w="0" w:type="auto"/>
            <w:tcBorders>
              <w:top w:val="nil"/>
              <w:left w:val="nil"/>
              <w:bottom w:val="nil"/>
              <w:right w:val="single" w:color="auto" w:sz="4" w:space="0"/>
            </w:tcBorders>
            <w:noWrap w:val="0"/>
            <w:vAlign w:val="center"/>
          </w:tcPr>
          <w:p w14:paraId="125F4666">
            <w:pPr>
              <w:snapToGrid w:val="0"/>
              <w:spacing w:line="240" w:lineRule="auto"/>
              <w:ind w:left="0" w:leftChars="0" w:right="0" w:rightChars="0" w:firstLine="0" w:firstLineChars="0"/>
              <w:jc w:val="left"/>
              <w:rPr>
                <w:rFonts w:hint="eastAsia" w:ascii="仿宋" w:hAnsi="仿宋" w:eastAsia="仿宋"/>
                <w:sz w:val="24"/>
                <w:szCs w:val="24"/>
                <w:lang w:val="en-US" w:eastAsia="zh-CN"/>
              </w:rPr>
            </w:pPr>
            <w:r>
              <w:rPr>
                <w:rFonts w:ascii="仿宋" w:hAnsi="宋体" w:eastAsia="仿宋" w:cs="宋体"/>
                <w:sz w:val="24"/>
                <w:szCs w:val="24"/>
              </w:rPr>
              <w:t>修剪、枝条清运、场地清理</w:t>
            </w:r>
          </w:p>
        </w:tc>
        <w:tc>
          <w:tcPr>
            <w:tcW w:w="0" w:type="auto"/>
            <w:tcBorders>
              <w:top w:val="nil"/>
              <w:left w:val="nil"/>
              <w:bottom w:val="nil"/>
              <w:right w:val="single" w:color="auto" w:sz="4" w:space="0"/>
            </w:tcBorders>
            <w:noWrap/>
            <w:vAlign w:val="center"/>
          </w:tcPr>
          <w:p w14:paraId="31C26680">
            <w:pPr>
              <w:snapToGrid w:val="0"/>
              <w:spacing w:line="240" w:lineRule="auto"/>
              <w:ind w:left="0" w:leftChars="0" w:right="0" w:rightChars="0" w:firstLine="0" w:firstLineChars="0"/>
              <w:jc w:val="left"/>
              <w:rPr>
                <w:rFonts w:hint="eastAsia" w:ascii="仿宋" w:hAnsi="仿宋" w:eastAsia="仿宋"/>
                <w:sz w:val="24"/>
                <w:szCs w:val="24"/>
                <w:lang w:val="en-US" w:eastAsia="zh-CN"/>
              </w:rPr>
            </w:pPr>
            <w:r>
              <w:rPr>
                <w:rFonts w:hint="eastAsia" w:ascii="仿宋" w:hAnsi="仿宋" w:eastAsia="仿宋"/>
                <w:sz w:val="24"/>
                <w:szCs w:val="24"/>
                <w:lang w:val="en-US" w:eastAsia="zh-CN"/>
              </w:rPr>
              <w:t>项</w:t>
            </w:r>
          </w:p>
        </w:tc>
        <w:tc>
          <w:tcPr>
            <w:tcW w:w="0" w:type="auto"/>
            <w:tcBorders>
              <w:top w:val="nil"/>
              <w:left w:val="nil"/>
              <w:bottom w:val="nil"/>
              <w:right w:val="single" w:color="auto" w:sz="4" w:space="0"/>
            </w:tcBorders>
            <w:noWrap/>
            <w:vAlign w:val="center"/>
          </w:tcPr>
          <w:p w14:paraId="6904ACE9">
            <w:pPr>
              <w:snapToGrid w:val="0"/>
              <w:spacing w:line="240" w:lineRule="auto"/>
              <w:ind w:left="0" w:leftChars="0" w:right="0" w:rightChars="0" w:firstLine="0" w:firstLineChars="0"/>
              <w:jc w:val="center"/>
              <w:rPr>
                <w:rFonts w:hint="default" w:ascii="仿宋" w:hAnsi="仿宋" w:eastAsia="仿宋"/>
                <w:sz w:val="24"/>
                <w:szCs w:val="24"/>
                <w:lang w:val="en-US" w:eastAsia="zh-CN"/>
              </w:rPr>
            </w:pPr>
            <w:r>
              <w:rPr>
                <w:rFonts w:hint="eastAsia" w:ascii="仿宋" w:hAnsi="仿宋" w:eastAsia="仿宋"/>
                <w:sz w:val="24"/>
                <w:szCs w:val="24"/>
                <w:lang w:val="en-US" w:eastAsia="zh-CN"/>
              </w:rPr>
              <w:t>1</w:t>
            </w:r>
          </w:p>
        </w:tc>
        <w:tc>
          <w:tcPr>
            <w:tcW w:w="1824" w:type="dxa"/>
            <w:tcBorders>
              <w:top w:val="nil"/>
              <w:left w:val="nil"/>
              <w:bottom w:val="nil"/>
              <w:right w:val="single" w:color="auto" w:sz="4" w:space="0"/>
            </w:tcBorders>
            <w:noWrap w:val="0"/>
            <w:vAlign w:val="center"/>
          </w:tcPr>
          <w:p w14:paraId="3B831A7F">
            <w:pPr>
              <w:snapToGrid w:val="0"/>
              <w:spacing w:line="240" w:lineRule="auto"/>
              <w:ind w:left="0" w:leftChars="0" w:right="0" w:rightChars="0" w:firstLine="0" w:firstLineChars="0"/>
              <w:jc w:val="center"/>
              <w:rPr>
                <w:rFonts w:hint="eastAsia" w:ascii="仿宋" w:hAnsi="仿宋" w:eastAsia="仿宋"/>
                <w:sz w:val="24"/>
                <w:szCs w:val="24"/>
                <w:lang w:val="en-US" w:eastAsia="zh-CN"/>
              </w:rPr>
            </w:pPr>
          </w:p>
        </w:tc>
      </w:tr>
      <w:tr w14:paraId="2675F387">
        <w:tblPrEx>
          <w:tblCellMar>
            <w:top w:w="0" w:type="dxa"/>
            <w:left w:w="108" w:type="dxa"/>
            <w:bottom w:w="0" w:type="dxa"/>
            <w:right w:w="108" w:type="dxa"/>
          </w:tblCellMar>
        </w:tblPrEx>
        <w:trPr>
          <w:trHeight w:val="0" w:hRule="atLeast"/>
          <w:jc w:val="center"/>
        </w:trPr>
        <w:tc>
          <w:tcPr>
            <w:tcW w:w="779" w:type="dxa"/>
            <w:tcBorders>
              <w:top w:val="nil"/>
              <w:left w:val="single" w:color="auto" w:sz="4" w:space="0"/>
              <w:bottom w:val="single" w:color="auto" w:sz="4" w:space="0"/>
              <w:right w:val="single" w:color="auto" w:sz="4" w:space="0"/>
            </w:tcBorders>
            <w:noWrap/>
            <w:vAlign w:val="center"/>
          </w:tcPr>
          <w:p w14:paraId="7DB808BE">
            <w:pPr>
              <w:snapToGrid w:val="0"/>
              <w:spacing w:line="240" w:lineRule="auto"/>
              <w:ind w:left="0" w:leftChars="0" w:right="0" w:rightChars="0" w:firstLine="0" w:firstLineChars="0"/>
              <w:jc w:val="center"/>
              <w:rPr>
                <w:rFonts w:hint="default" w:ascii="仿宋" w:hAnsi="仿宋" w:eastAsia="仿宋"/>
                <w:sz w:val="24"/>
                <w:szCs w:val="24"/>
                <w:lang w:val="en-US" w:eastAsia="zh-CN"/>
              </w:rPr>
            </w:pPr>
            <w:r>
              <w:rPr>
                <w:rFonts w:hint="eastAsia" w:ascii="仿宋" w:hAnsi="仿宋" w:eastAsia="仿宋"/>
                <w:sz w:val="24"/>
                <w:szCs w:val="24"/>
                <w:lang w:val="en-US" w:eastAsia="zh-CN"/>
              </w:rPr>
              <w:t>5</w:t>
            </w:r>
          </w:p>
        </w:tc>
        <w:tc>
          <w:tcPr>
            <w:tcW w:w="1787" w:type="dxa"/>
            <w:tcBorders>
              <w:top w:val="nil"/>
              <w:left w:val="nil"/>
              <w:bottom w:val="single" w:color="auto" w:sz="4" w:space="0"/>
              <w:right w:val="single" w:color="auto" w:sz="4" w:space="0"/>
            </w:tcBorders>
            <w:noWrap w:val="0"/>
            <w:vAlign w:val="center"/>
          </w:tcPr>
          <w:p w14:paraId="306BCDBA">
            <w:pPr>
              <w:snapToGrid w:val="0"/>
              <w:spacing w:line="240" w:lineRule="auto"/>
              <w:ind w:left="0" w:leftChars="0" w:right="0" w:rightChars="0" w:firstLine="0" w:firstLineChars="0"/>
              <w:jc w:val="center"/>
              <w:rPr>
                <w:rFonts w:hint="eastAsia" w:ascii="仿宋" w:hAnsi="仿宋" w:eastAsia="仿宋"/>
                <w:sz w:val="24"/>
                <w:szCs w:val="24"/>
                <w:lang w:val="en-US" w:eastAsia="zh-CN"/>
              </w:rPr>
            </w:pPr>
            <w:r>
              <w:rPr>
                <w:rFonts w:ascii="仿宋" w:hAnsi="宋体" w:eastAsia="仿宋" w:cs="宋体"/>
                <w:sz w:val="24"/>
                <w:szCs w:val="24"/>
              </w:rPr>
              <w:t>栽植、支撑、养护</w:t>
            </w:r>
          </w:p>
        </w:tc>
        <w:tc>
          <w:tcPr>
            <w:tcW w:w="3115" w:type="dxa"/>
            <w:tcBorders>
              <w:top w:val="nil"/>
              <w:left w:val="nil"/>
              <w:bottom w:val="single" w:color="auto" w:sz="4" w:space="0"/>
              <w:right w:val="single" w:color="auto" w:sz="4" w:space="0"/>
            </w:tcBorders>
            <w:noWrap w:val="0"/>
            <w:vAlign w:val="center"/>
          </w:tcPr>
          <w:p w14:paraId="7A6C068D">
            <w:pPr>
              <w:snapToGrid w:val="0"/>
              <w:spacing w:line="240" w:lineRule="auto"/>
              <w:ind w:left="0" w:leftChars="0" w:right="0" w:rightChars="0" w:firstLine="0" w:firstLineChars="0"/>
              <w:jc w:val="left"/>
              <w:rPr>
                <w:rFonts w:hint="eastAsia" w:ascii="仿宋" w:hAnsi="仿宋" w:eastAsia="仿宋"/>
                <w:sz w:val="24"/>
                <w:szCs w:val="24"/>
                <w:lang w:val="en-US" w:eastAsia="zh-CN"/>
              </w:rPr>
            </w:pPr>
            <w:r>
              <w:rPr>
                <w:rFonts w:ascii="仿宋" w:hAnsi="宋体" w:eastAsia="仿宋" w:cs="宋体"/>
                <w:sz w:val="24"/>
                <w:szCs w:val="24"/>
              </w:rPr>
              <w:t>含吊机、支撑、浇水、12 个月养护、成活率≥95%</w:t>
            </w:r>
          </w:p>
        </w:tc>
        <w:tc>
          <w:tcPr>
            <w:tcW w:w="780" w:type="dxa"/>
            <w:tcBorders>
              <w:top w:val="nil"/>
              <w:left w:val="nil"/>
              <w:bottom w:val="single" w:color="auto" w:sz="4" w:space="0"/>
              <w:right w:val="single" w:color="auto" w:sz="4" w:space="0"/>
            </w:tcBorders>
            <w:noWrap/>
            <w:vAlign w:val="center"/>
          </w:tcPr>
          <w:p w14:paraId="0488C5E2">
            <w:pPr>
              <w:snapToGrid w:val="0"/>
              <w:spacing w:line="240" w:lineRule="auto"/>
              <w:ind w:left="0" w:leftChars="0" w:right="0" w:rightChars="0" w:firstLine="0" w:firstLineChars="0"/>
              <w:jc w:val="left"/>
              <w:rPr>
                <w:rFonts w:hint="eastAsia" w:ascii="仿宋" w:hAnsi="仿宋" w:eastAsia="仿宋"/>
                <w:sz w:val="24"/>
                <w:szCs w:val="24"/>
                <w:lang w:val="en-US" w:eastAsia="zh-CN"/>
              </w:rPr>
            </w:pPr>
            <w:r>
              <w:rPr>
                <w:rFonts w:hint="eastAsia" w:ascii="仿宋" w:hAnsi="仿宋" w:eastAsia="仿宋"/>
                <w:sz w:val="24"/>
                <w:szCs w:val="24"/>
                <w:lang w:val="en-US" w:eastAsia="zh-CN"/>
              </w:rPr>
              <w:t>项</w:t>
            </w:r>
          </w:p>
        </w:tc>
        <w:tc>
          <w:tcPr>
            <w:tcW w:w="780" w:type="dxa"/>
            <w:tcBorders>
              <w:top w:val="nil"/>
              <w:left w:val="nil"/>
              <w:bottom w:val="single" w:color="auto" w:sz="4" w:space="0"/>
              <w:right w:val="single" w:color="auto" w:sz="4" w:space="0"/>
            </w:tcBorders>
            <w:noWrap/>
            <w:vAlign w:val="center"/>
          </w:tcPr>
          <w:p w14:paraId="53F695A3">
            <w:pPr>
              <w:snapToGrid w:val="0"/>
              <w:spacing w:line="240" w:lineRule="auto"/>
              <w:ind w:left="0" w:leftChars="0" w:right="0" w:rightChars="0" w:firstLine="0" w:firstLineChars="0"/>
              <w:jc w:val="center"/>
              <w:rPr>
                <w:rFonts w:hint="default" w:ascii="仿宋" w:hAnsi="仿宋" w:eastAsia="仿宋"/>
                <w:sz w:val="24"/>
                <w:szCs w:val="24"/>
                <w:lang w:val="en-US" w:eastAsia="zh-CN"/>
              </w:rPr>
            </w:pPr>
            <w:r>
              <w:rPr>
                <w:rFonts w:hint="eastAsia" w:ascii="仿宋" w:hAnsi="仿宋" w:eastAsia="仿宋"/>
                <w:sz w:val="24"/>
                <w:szCs w:val="24"/>
                <w:lang w:val="en-US" w:eastAsia="zh-CN"/>
              </w:rPr>
              <w:t>1</w:t>
            </w:r>
          </w:p>
        </w:tc>
        <w:tc>
          <w:tcPr>
            <w:tcW w:w="1824" w:type="dxa"/>
            <w:tcBorders>
              <w:top w:val="nil"/>
              <w:left w:val="nil"/>
              <w:bottom w:val="single" w:color="auto" w:sz="4" w:space="0"/>
              <w:right w:val="single" w:color="auto" w:sz="4" w:space="0"/>
            </w:tcBorders>
            <w:noWrap w:val="0"/>
            <w:vAlign w:val="center"/>
          </w:tcPr>
          <w:p w14:paraId="401ECBB4">
            <w:pPr>
              <w:snapToGrid w:val="0"/>
              <w:spacing w:line="240" w:lineRule="auto"/>
              <w:ind w:left="0" w:leftChars="0" w:right="0" w:rightChars="0" w:firstLine="0" w:firstLineChars="0"/>
              <w:jc w:val="center"/>
              <w:rPr>
                <w:rFonts w:hint="eastAsia" w:ascii="仿宋" w:hAnsi="仿宋" w:eastAsia="仿宋"/>
                <w:sz w:val="24"/>
                <w:szCs w:val="24"/>
                <w:lang w:val="en-US" w:eastAsia="zh-CN"/>
              </w:rPr>
            </w:pPr>
          </w:p>
        </w:tc>
      </w:tr>
    </w:tbl>
    <w:p w14:paraId="4746CE43">
      <w:pPr>
        <w:spacing w:line="360" w:lineRule="auto"/>
        <w:ind w:firstLine="435"/>
        <w:rPr>
          <w:rFonts w:hint="default" w:ascii="仿宋" w:hAnsi="仿宋" w:eastAsia="仿宋"/>
          <w:b/>
          <w:bCs/>
          <w:sz w:val="24"/>
          <w:szCs w:val="24"/>
          <w:lang w:val="en-US" w:eastAsia="zh-CN"/>
        </w:rPr>
      </w:pPr>
      <w:r>
        <w:rPr>
          <w:rFonts w:hint="eastAsia" w:ascii="仿宋" w:hAnsi="仿宋" w:eastAsia="仿宋"/>
          <w:b/>
          <w:bCs/>
          <w:sz w:val="24"/>
          <w:szCs w:val="24"/>
          <w:lang w:val="en-US" w:eastAsia="zh-CN"/>
        </w:rPr>
        <w:t>注：上表采购数量均据实结算。</w:t>
      </w:r>
    </w:p>
    <w:p w14:paraId="7BBD5C70">
      <w:pPr>
        <w:outlineLvl w:val="0"/>
        <w:rPr>
          <w:rFonts w:hint="eastAsia" w:ascii="仿宋" w:hAnsi="仿宋" w:eastAsia="仿宋"/>
          <w:sz w:val="24"/>
          <w:szCs w:val="24"/>
          <w:lang w:val="en-US" w:eastAsia="zh-CN"/>
        </w:rPr>
      </w:pPr>
      <w:r>
        <w:rPr>
          <w:rFonts w:hint="eastAsia" w:ascii="黑体" w:hAnsi="黑体" w:eastAsia="黑体" w:cs="黑体"/>
          <w:b/>
          <w:bCs/>
          <w:i w:val="0"/>
          <w:iCs w:val="0"/>
          <w:caps w:val="0"/>
          <w:color w:val="454545"/>
          <w:spacing w:val="2"/>
          <w:kern w:val="0"/>
          <w:sz w:val="28"/>
          <w:szCs w:val="28"/>
          <w:shd w:val="clear" w:fill="FFFFFF"/>
          <w:lang w:val="en-US" w:eastAsia="zh-CN" w:bidi="ar"/>
        </w:rPr>
        <w:t>3、工作内容（全费用包干）</w:t>
      </w:r>
      <w:bookmarkEnd w:id="6"/>
      <w:r>
        <w:rPr>
          <w:rFonts w:hint="eastAsia" w:ascii="仿宋" w:hAnsi="仿宋" w:eastAsia="仿宋"/>
          <w:sz w:val="24"/>
          <w:szCs w:val="24"/>
          <w:lang w:val="en-US" w:eastAsia="zh-CN"/>
        </w:rPr>
        <w:t>包含但不限于：</w:t>
      </w:r>
    </w:p>
    <w:p w14:paraId="11B7724A">
      <w:pPr>
        <w:spacing w:line="360" w:lineRule="auto"/>
        <w:ind w:firstLine="435"/>
        <w:rPr>
          <w:rFonts w:hint="eastAsia" w:ascii="仿宋" w:hAnsi="仿宋" w:eastAsia="仿宋"/>
          <w:sz w:val="24"/>
          <w:szCs w:val="24"/>
          <w:lang w:val="en-US" w:eastAsia="zh-CN"/>
        </w:rPr>
      </w:pPr>
      <w:r>
        <w:rPr>
          <w:rFonts w:hint="eastAsia" w:ascii="仿宋" w:hAnsi="仿宋" w:eastAsia="仿宋"/>
          <w:sz w:val="24"/>
          <w:szCs w:val="24"/>
          <w:lang w:val="en-US" w:eastAsia="zh-CN"/>
        </w:rPr>
        <w:t>1.苗木采购、起苗、包装、运输、装卸吊机、栽植、支撑、固定、浇定根水。</w:t>
      </w:r>
    </w:p>
    <w:p w14:paraId="677CEA64">
      <w:pPr>
        <w:spacing w:line="360" w:lineRule="auto"/>
        <w:ind w:firstLine="435"/>
        <w:rPr>
          <w:rFonts w:hint="default" w:ascii="仿宋" w:hAnsi="仿宋" w:eastAsia="仿宋"/>
          <w:sz w:val="24"/>
          <w:szCs w:val="24"/>
          <w:lang w:val="en-US" w:eastAsia="zh-CN"/>
        </w:rPr>
      </w:pPr>
      <w:r>
        <w:rPr>
          <w:rFonts w:hint="eastAsia" w:ascii="仿宋" w:hAnsi="仿宋" w:eastAsia="仿宋"/>
          <w:sz w:val="24"/>
          <w:szCs w:val="24"/>
          <w:lang w:val="en-US" w:eastAsia="zh-CN"/>
        </w:rPr>
        <w:t>2.道路半幅封闭围挡搭建费用（约100米长）。</w:t>
      </w:r>
    </w:p>
    <w:p w14:paraId="4A288128">
      <w:pPr>
        <w:spacing w:line="360" w:lineRule="auto"/>
        <w:ind w:firstLine="435"/>
        <w:rPr>
          <w:rFonts w:hint="eastAsia" w:ascii="仿宋" w:hAnsi="仿宋" w:eastAsia="仿宋"/>
          <w:sz w:val="24"/>
          <w:szCs w:val="24"/>
          <w:lang w:val="en-US" w:eastAsia="zh-CN"/>
        </w:rPr>
      </w:pPr>
      <w:r>
        <w:rPr>
          <w:rFonts w:hint="eastAsia" w:ascii="仿宋" w:hAnsi="仿宋" w:eastAsia="仿宋"/>
          <w:sz w:val="24"/>
          <w:szCs w:val="24"/>
          <w:lang w:val="en-US" w:eastAsia="zh-CN"/>
        </w:rPr>
        <w:t>3.12个月养护期（浇水、施肥、防病、治虫、补植）人工、机械、辅材、保险、税费、管理费等全部费用。</w:t>
      </w:r>
    </w:p>
    <w:p w14:paraId="6439AFB2">
      <w:pPr>
        <w:pStyle w:val="3"/>
        <w:ind w:firstLine="482" w:firstLineChars="200"/>
        <w:rPr>
          <w:rFonts w:hint="eastAsia" w:ascii="仿宋" w:hAnsi="仿宋" w:eastAsia="仿宋"/>
          <w:sz w:val="24"/>
          <w:szCs w:val="24"/>
          <w:lang w:val="en-US" w:eastAsia="zh-CN"/>
        </w:rPr>
      </w:pPr>
      <w:r>
        <w:rPr>
          <w:rFonts w:hint="eastAsia" w:ascii="仿宋" w:hAnsi="仿宋" w:eastAsia="仿宋" w:cstheme="minorBidi"/>
          <w:b/>
          <w:bCs/>
          <w:kern w:val="2"/>
          <w:sz w:val="24"/>
          <w:szCs w:val="24"/>
          <w:lang w:val="en-US" w:eastAsia="zh-CN" w:bidi="ar-SA"/>
        </w:rPr>
        <w:t>本项目报价，包括完成项目所有一切费用，履约期内采购人不再另付其他费用，供应商自行考虑投标风险。</w:t>
      </w:r>
    </w:p>
    <w:p w14:paraId="0231E22E">
      <w:pPr>
        <w:outlineLvl w:val="0"/>
        <w:rPr>
          <w:rFonts w:hint="eastAsia" w:ascii="黑体" w:hAnsi="黑体" w:eastAsia="黑体" w:cs="黑体"/>
          <w:b/>
          <w:bCs/>
          <w:i w:val="0"/>
          <w:iCs w:val="0"/>
          <w:caps w:val="0"/>
          <w:color w:val="454545"/>
          <w:spacing w:val="2"/>
          <w:kern w:val="0"/>
          <w:sz w:val="28"/>
          <w:szCs w:val="28"/>
          <w:shd w:val="clear" w:fill="FFFFFF"/>
          <w:lang w:val="en-US" w:eastAsia="zh-CN" w:bidi="ar"/>
        </w:rPr>
      </w:pPr>
      <w:bookmarkStart w:id="7" w:name="_Toc26928"/>
      <w:r>
        <w:rPr>
          <w:rFonts w:hint="eastAsia" w:ascii="黑体" w:hAnsi="黑体" w:eastAsia="黑体" w:cs="黑体"/>
          <w:b/>
          <w:bCs/>
          <w:i w:val="0"/>
          <w:iCs w:val="0"/>
          <w:caps w:val="0"/>
          <w:color w:val="454545"/>
          <w:spacing w:val="2"/>
          <w:kern w:val="0"/>
          <w:sz w:val="28"/>
          <w:szCs w:val="28"/>
          <w:shd w:val="clear" w:fill="FFFFFF"/>
          <w:lang w:val="en-US" w:eastAsia="zh-CN" w:bidi="ar"/>
        </w:rPr>
        <w:t>4.质量要求</w:t>
      </w:r>
      <w:bookmarkEnd w:id="7"/>
    </w:p>
    <w:p w14:paraId="717254F5">
      <w:pPr>
        <w:spacing w:line="360" w:lineRule="auto"/>
        <w:ind w:firstLine="435"/>
        <w:rPr>
          <w:rFonts w:hint="eastAsia" w:ascii="仿宋" w:hAnsi="仿宋" w:eastAsia="仿宋"/>
          <w:color w:val="FF0000"/>
          <w:sz w:val="24"/>
          <w:szCs w:val="24"/>
        </w:rPr>
      </w:pPr>
      <w:r>
        <w:rPr>
          <w:rFonts w:hint="eastAsia" w:ascii="黑体" w:hAnsi="黑体" w:eastAsia="黑体" w:cs="黑体"/>
          <w:b/>
          <w:bCs/>
          <w:i w:val="0"/>
          <w:iCs w:val="0"/>
          <w:caps w:val="0"/>
          <w:color w:val="454545"/>
          <w:spacing w:val="2"/>
          <w:kern w:val="0"/>
          <w:sz w:val="28"/>
          <w:szCs w:val="28"/>
          <w:shd w:val="clear" w:fill="FFFFFF"/>
          <w:lang w:val="en-US" w:eastAsia="zh-CN" w:bidi="ar"/>
        </w:rPr>
        <w:t>1.</w:t>
      </w:r>
      <w:r>
        <w:rPr>
          <w:rFonts w:hint="eastAsia" w:ascii="仿宋" w:hAnsi="仿宋" w:eastAsia="仿宋"/>
          <w:sz w:val="24"/>
          <w:szCs w:val="24"/>
        </w:rPr>
        <w:t>乙方保证苗木品种纯正、规格达标、土球完整、无病虫害、无机械损伤、无弱苗残苗。土球大小、分枝点、冠幅、高度、胸径/地径必须与清单一致。苗木要做到种源清楚，禁止提供假植苗、病苗、不合规格苗、残次苗。 因苗木质量、土球、病虫害、品种问题造成死亡，乙方无偿补植并承担全部费用。</w:t>
      </w:r>
    </w:p>
    <w:p w14:paraId="390F0E0E">
      <w:pPr>
        <w:spacing w:line="360" w:lineRule="auto"/>
        <w:ind w:firstLine="435"/>
        <w:rPr>
          <w:rFonts w:hint="eastAsia" w:ascii="仿宋" w:hAnsi="仿宋" w:eastAsia="仿宋"/>
          <w:sz w:val="24"/>
          <w:szCs w:val="24"/>
        </w:rPr>
      </w:pPr>
      <w:r>
        <w:rPr>
          <w:rFonts w:hint="eastAsia" w:ascii="仿宋" w:hAnsi="仿宋" w:eastAsia="仿宋"/>
          <w:sz w:val="24"/>
          <w:szCs w:val="24"/>
        </w:rPr>
        <w:t>2、 供应商在苗木装车前要按采购人要求统一做好苗木的定干、修剪；所有采购的苗木均无病虫害和机械损伤；所有苗木需要带土球且土球完整不松散，规格大小符合要求。</w:t>
      </w:r>
    </w:p>
    <w:p w14:paraId="5BBED3BA">
      <w:pPr>
        <w:rPr>
          <w:rFonts w:hint="eastAsia" w:ascii="仿宋" w:hAnsi="仿宋" w:eastAsia="仿宋"/>
          <w:b/>
          <w:sz w:val="30"/>
          <w:szCs w:val="30"/>
        </w:rPr>
      </w:pPr>
      <w:r>
        <w:rPr>
          <w:rFonts w:hint="eastAsia" w:ascii="仿宋" w:hAnsi="仿宋" w:eastAsia="仿宋"/>
          <w:b/>
          <w:sz w:val="30"/>
          <w:szCs w:val="30"/>
          <w:lang w:val="en-US" w:eastAsia="zh-CN"/>
        </w:rPr>
        <w:t>5</w:t>
      </w:r>
      <w:r>
        <w:rPr>
          <w:rFonts w:hint="eastAsia" w:ascii="仿宋" w:hAnsi="仿宋" w:eastAsia="仿宋"/>
          <w:b/>
          <w:sz w:val="30"/>
          <w:szCs w:val="30"/>
        </w:rPr>
        <w:t>、管理要求</w:t>
      </w:r>
    </w:p>
    <w:p w14:paraId="4A09076A">
      <w:pPr>
        <w:spacing w:line="360" w:lineRule="auto"/>
        <w:ind w:firstLine="435"/>
        <w:rPr>
          <w:rFonts w:hint="eastAsia" w:ascii="仿宋" w:hAnsi="仿宋" w:eastAsia="仿宋"/>
          <w:sz w:val="24"/>
          <w:szCs w:val="24"/>
        </w:rPr>
      </w:pPr>
      <w:r>
        <w:rPr>
          <w:rFonts w:hint="eastAsia" w:ascii="仿宋" w:hAnsi="仿宋" w:eastAsia="仿宋"/>
          <w:sz w:val="24"/>
          <w:szCs w:val="24"/>
        </w:rPr>
        <w:t>1、供应商须配备专职项目负责人1名，苗木到场后项目负责人需到场会同采购人员或分包方对交数、验质、办理接收手续。</w:t>
      </w:r>
    </w:p>
    <w:p w14:paraId="55D87DE6">
      <w:pPr>
        <w:spacing w:line="360" w:lineRule="auto"/>
        <w:ind w:firstLine="435"/>
        <w:rPr>
          <w:rFonts w:hint="eastAsia" w:ascii="仿宋" w:hAnsi="仿宋" w:eastAsia="仿宋"/>
          <w:sz w:val="24"/>
          <w:szCs w:val="24"/>
        </w:rPr>
      </w:pPr>
      <w:r>
        <w:rPr>
          <w:rFonts w:hint="eastAsia" w:ascii="仿宋" w:hAnsi="仿宋" w:eastAsia="仿宋"/>
          <w:sz w:val="24"/>
          <w:szCs w:val="24"/>
        </w:rPr>
        <w:t>2、发放栽植技术说明书，包括栽植技术要点、后期管养方法、注意事项等内容；同时安排专业技术人员进行现场技术指导。</w:t>
      </w:r>
    </w:p>
    <w:p w14:paraId="1A2AB1F6">
      <w:pPr>
        <w:spacing w:line="360" w:lineRule="auto"/>
        <w:ind w:firstLine="435"/>
        <w:rPr>
          <w:rFonts w:hint="eastAsia" w:ascii="仿宋" w:hAnsi="仿宋" w:eastAsia="仿宋"/>
          <w:sz w:val="24"/>
          <w:szCs w:val="24"/>
        </w:rPr>
      </w:pPr>
      <w:r>
        <w:rPr>
          <w:rFonts w:hint="eastAsia" w:ascii="仿宋" w:hAnsi="仿宋" w:eastAsia="仿宋"/>
          <w:sz w:val="24"/>
          <w:szCs w:val="24"/>
        </w:rPr>
        <w:t>3、供应商在供货过程中必须落实安全生产管理，文明作业，合同履约过程中如发生任何意外造成自身或第三方损害，供应商承担全部责任和经济损失，一概与采购人无关。</w:t>
      </w:r>
    </w:p>
    <w:p w14:paraId="5A30411F">
      <w:pPr>
        <w:rPr>
          <w:rFonts w:hint="eastAsia" w:ascii="仿宋" w:hAnsi="仿宋" w:eastAsia="仿宋"/>
          <w:b/>
          <w:sz w:val="30"/>
          <w:szCs w:val="30"/>
        </w:rPr>
      </w:pPr>
      <w:r>
        <w:rPr>
          <w:rFonts w:hint="eastAsia" w:ascii="仿宋" w:hAnsi="仿宋" w:eastAsia="仿宋"/>
          <w:b/>
          <w:sz w:val="30"/>
          <w:szCs w:val="30"/>
          <w:lang w:val="en-US" w:eastAsia="zh-CN"/>
        </w:rPr>
        <w:t>6</w:t>
      </w:r>
      <w:r>
        <w:rPr>
          <w:rFonts w:hint="eastAsia" w:ascii="仿宋" w:hAnsi="仿宋" w:eastAsia="仿宋"/>
          <w:b/>
          <w:sz w:val="30"/>
          <w:szCs w:val="30"/>
        </w:rPr>
        <w:t>、验收</w:t>
      </w:r>
    </w:p>
    <w:p w14:paraId="29B1C914">
      <w:pPr>
        <w:spacing w:line="360" w:lineRule="auto"/>
        <w:ind w:firstLine="435"/>
        <w:rPr>
          <w:rFonts w:hint="eastAsia" w:ascii="仿宋" w:hAnsi="仿宋" w:eastAsia="仿宋"/>
          <w:sz w:val="24"/>
          <w:szCs w:val="24"/>
        </w:rPr>
      </w:pPr>
      <w:r>
        <w:rPr>
          <w:rFonts w:hint="eastAsia" w:ascii="仿宋" w:hAnsi="仿宋" w:eastAsia="仿宋"/>
          <w:sz w:val="24"/>
          <w:szCs w:val="24"/>
        </w:rPr>
        <w:t>供货苗木质量须符合采购人需求，供货验收时，如采购人认为必要，可采取邀请和组织相关方面的专家或技术权威对苗木品种进行技术鉴定；若鉴定结论认定供货苗木不属于采购文件规定的品种或达不到规格特征要求，即为供应商违约，采购人有权解除合同并将追究供应商的经济及法律责任。</w:t>
      </w:r>
    </w:p>
    <w:p w14:paraId="3DE2DC4B">
      <w:pPr>
        <w:rPr>
          <w:rFonts w:hint="eastAsia" w:ascii="仿宋" w:hAnsi="仿宋" w:eastAsia="仿宋"/>
          <w:b/>
          <w:sz w:val="30"/>
          <w:szCs w:val="30"/>
          <w:lang w:val="en-US" w:eastAsia="zh-CN"/>
        </w:rPr>
      </w:pPr>
      <w:r>
        <w:rPr>
          <w:rFonts w:hint="eastAsia" w:ascii="仿宋" w:hAnsi="仿宋" w:eastAsia="仿宋"/>
          <w:b/>
          <w:sz w:val="30"/>
          <w:szCs w:val="30"/>
          <w:lang w:val="en-US" w:eastAsia="zh-CN"/>
        </w:rPr>
        <w:t>7、</w:t>
      </w:r>
      <w:r>
        <w:rPr>
          <w:rFonts w:hint="default" w:ascii="仿宋" w:hAnsi="仿宋" w:eastAsia="仿宋"/>
          <w:b/>
          <w:sz w:val="30"/>
          <w:szCs w:val="30"/>
          <w:lang w:val="en-US" w:eastAsia="zh-CN"/>
        </w:rPr>
        <w:t>付款方式：</w:t>
      </w:r>
    </w:p>
    <w:p w14:paraId="5DBAC795">
      <w:pPr>
        <w:spacing w:line="360" w:lineRule="auto"/>
        <w:ind w:firstLine="435"/>
        <w:rPr>
          <w:rFonts w:hint="eastAsia" w:ascii="仿宋" w:hAnsi="仿宋" w:eastAsia="仿宋"/>
          <w:sz w:val="24"/>
          <w:szCs w:val="24"/>
        </w:rPr>
      </w:pPr>
      <w:r>
        <w:rPr>
          <w:rFonts w:hint="eastAsia" w:ascii="仿宋" w:hAnsi="仿宋" w:eastAsia="仿宋"/>
          <w:sz w:val="24"/>
          <w:szCs w:val="24"/>
          <w:lang w:val="en-US" w:eastAsia="zh-CN"/>
        </w:rPr>
        <w:t>1.</w:t>
      </w:r>
      <w:r>
        <w:rPr>
          <w:rFonts w:hint="default" w:ascii="仿宋" w:hAnsi="仿宋" w:eastAsia="仿宋"/>
          <w:sz w:val="24"/>
          <w:szCs w:val="24"/>
        </w:rPr>
        <w:t>项目竣工验收合格后支付合同价款的 97%；</w:t>
      </w:r>
    </w:p>
    <w:p w14:paraId="12B31A19">
      <w:pPr>
        <w:spacing w:line="360" w:lineRule="auto"/>
        <w:ind w:firstLine="435"/>
        <w:rPr>
          <w:rFonts w:hint="eastAsia"/>
          <w:lang w:val="en-US" w:eastAsia="zh-CN"/>
        </w:rPr>
      </w:pPr>
      <w:r>
        <w:rPr>
          <w:rFonts w:hint="eastAsia" w:ascii="仿宋" w:hAnsi="仿宋" w:eastAsia="仿宋"/>
          <w:sz w:val="24"/>
          <w:szCs w:val="24"/>
          <w:lang w:val="en-US" w:eastAsia="zh-CN"/>
        </w:rPr>
        <w:t>2.</w:t>
      </w:r>
      <w:r>
        <w:rPr>
          <w:rFonts w:hint="default" w:ascii="仿宋" w:hAnsi="仿宋" w:eastAsia="仿宋"/>
          <w:sz w:val="24"/>
          <w:szCs w:val="24"/>
        </w:rPr>
        <w:t>12 个月养护期满且苗木成活率达标，支付剩余 3%。</w:t>
      </w:r>
    </w:p>
    <w:p w14:paraId="4F41DC1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28DDE6F"/>
    <w:multiLevelType w:val="singleLevel"/>
    <w:tmpl w:val="628DDE6F"/>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181714"/>
    <w:rsid w:val="051817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jc w:val="left"/>
      <w:outlineLvl w:val="0"/>
    </w:pPr>
    <w:rPr>
      <w:rFonts w:hint="eastAsia" w:ascii="黑体" w:hAnsi="宋体" w:eastAsia="黑体" w:cs="Times New Roman"/>
      <w:b/>
      <w:kern w:val="0"/>
      <w:sz w:val="32"/>
      <w:szCs w:val="32"/>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Indent"/>
    <w:basedOn w:val="1"/>
    <w:qFormat/>
    <w:uiPriority w:val="0"/>
    <w:pPr>
      <w:ind w:firstLine="420"/>
      <w:jc w:val="left"/>
    </w:pPr>
    <w:rPr>
      <w:rFonts w:ascii="Calibri" w:hAnsi="Calibri" w:eastAsia="Calibri" w:cs="Times New Roman"/>
      <w:kern w:val="0"/>
      <w:sz w:val="2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3</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2026-04-07T02:23:00Z</dcterms:created>
  <dc:creator>泛微网络</dc:creator>
  <cp:lastModifiedBy>泛微网络</cp:lastModifiedBy>
  <dcterms:modified xsi:type="dcterms:W3CDTF">2026-04-07T02:26:32Z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9A17E4CAEEC0449F8880A9836ACAFD52_11</vt:lpwstr>
  </property>
  <property fmtid="{D5CDD505-2E9C-101B-9397-08002B2CF9AE}" pid="4" name="KSOTemplateDocerSaveRecord">
    <vt:lpwstr>eyJoZGlkIjoiMzUwMzM1MmJlODQ2MDUyMzA3OTI5Yzk1ZWVkM2I4NjAiLCJ1c2VySWQiOiIxMjU5NDEyOCJ9</vt:lpwstr>
  </property>
</Properties>
</file>