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F0E3A">
      <w:pPr>
        <w:pStyle w:val="8"/>
        <w:jc w:val="center"/>
        <w:rPr>
          <w:rStyle w:val="9"/>
          <w:rFonts w:ascii="华文中宋" w:hAnsi="华文中宋" w:eastAsia="华文中宋"/>
          <w:b w:val="0"/>
          <w:bCs w:val="0"/>
          <w:color w:val="000000" w:themeColor="text1"/>
          <w14:textFill>
            <w14:solidFill>
              <w14:schemeClr w14:val="tx1"/>
            </w14:solidFill>
          </w14:textFill>
        </w:rPr>
      </w:pPr>
      <w:bookmarkStart w:id="0" w:name="_Toc144881036"/>
      <w:bookmarkStart w:id="1" w:name="_Toc144892493"/>
      <w:r>
        <w:rPr>
          <w:rStyle w:val="9"/>
          <w:rFonts w:hint="eastAsia" w:ascii="华文中宋" w:hAnsi="华文中宋" w:eastAsia="华文中宋"/>
          <w:b w:val="0"/>
          <w:bCs w:val="0"/>
          <w:color w:val="000000" w:themeColor="text1"/>
          <w14:textFill>
            <w14:solidFill>
              <w14:schemeClr w14:val="tx1"/>
            </w14:solidFill>
          </w14:textFill>
        </w:rPr>
        <w:t xml:space="preserve"> 采购需求</w:t>
      </w:r>
      <w:bookmarkEnd w:id="0"/>
      <w:bookmarkEnd w:id="1"/>
    </w:p>
    <w:p w14:paraId="764F2D3C">
      <w:pPr>
        <w:widowControl w:val="0"/>
        <w:spacing w:line="440" w:lineRule="exact"/>
        <w:jc w:val="left"/>
        <w:textAlignment w:val="auto"/>
        <w:outlineLvl w:val="0"/>
        <w:rPr>
          <w:rFonts w:ascii="仿宋" w:hAnsi="仿宋" w:eastAsia="仿宋" w:cstheme="majorEastAsia"/>
          <w:color w:val="000000" w:themeColor="text1"/>
          <w:kern w:val="0"/>
          <w:sz w:val="28"/>
          <w:szCs w:val="28"/>
          <w14:textFill>
            <w14:solidFill>
              <w14:schemeClr w14:val="tx1"/>
            </w14:solidFill>
          </w14:textFill>
        </w:rPr>
      </w:pPr>
      <w:bookmarkStart w:id="2" w:name="_Toc24710"/>
      <w:bookmarkEnd w:id="2"/>
      <w:bookmarkStart w:id="3" w:name="_Toc144892494"/>
      <w:bookmarkStart w:id="4" w:name="_Toc144881037"/>
      <w:r>
        <w:rPr>
          <w:rFonts w:ascii="仿宋" w:hAnsi="仿宋" w:eastAsia="仿宋" w:cstheme="majorEastAsia"/>
          <w:color w:val="000000" w:themeColor="text1"/>
          <w:kern w:val="0"/>
          <w:sz w:val="28"/>
          <w:szCs w:val="28"/>
          <w14:textFill>
            <w14:solidFill>
              <w14:schemeClr w14:val="tx1"/>
            </w14:solidFill>
          </w14:textFill>
        </w:rPr>
        <w:t>前注:</w:t>
      </w:r>
      <w:bookmarkEnd w:id="3"/>
      <w:bookmarkEnd w:id="4"/>
    </w:p>
    <w:p w14:paraId="7F77781F">
      <w:pPr>
        <w:widowControl w:val="0"/>
        <w:spacing w:line="440" w:lineRule="exact"/>
        <w:ind w:firstLine="560" w:firstLineChars="200"/>
        <w:jc w:val="left"/>
        <w:textAlignment w:val="auto"/>
        <w:outlineLvl w:val="0"/>
        <w:rPr>
          <w:rFonts w:ascii="仿宋" w:hAnsi="仿宋" w:eastAsia="仿宋" w:cstheme="majorEastAsia"/>
          <w:color w:val="000000" w:themeColor="text1"/>
          <w:kern w:val="0"/>
          <w:sz w:val="28"/>
          <w:szCs w:val="28"/>
          <w14:textFill>
            <w14:solidFill>
              <w14:schemeClr w14:val="tx1"/>
            </w14:solidFill>
          </w14:textFill>
        </w:rPr>
      </w:pPr>
      <w:bookmarkStart w:id="5" w:name="_Toc144881038"/>
      <w:bookmarkStart w:id="6" w:name="_Toc144892495"/>
      <w:r>
        <w:rPr>
          <w:rFonts w:ascii="仿宋" w:hAnsi="仿宋" w:eastAsia="仿宋" w:cstheme="majorEastAsia"/>
          <w:color w:val="000000" w:themeColor="text1"/>
          <w:kern w:val="0"/>
          <w:sz w:val="28"/>
          <w:szCs w:val="28"/>
          <w14:textFill>
            <w14:solidFill>
              <w14:schemeClr w14:val="tx1"/>
            </w14:solidFill>
          </w14:textFill>
        </w:rPr>
        <w:t>1.根据《关于规范政府采购进口产品有关工作的通知》及政府采购管理部门的相关规定，下列采购需求中标注进口产品的货物均已履行相关论证手续，经核准采购进口产品，但不限制满足询价文件要求的国内产品参与竞争。未标注进口产品的货物均为拒绝采购进口产品。</w:t>
      </w:r>
      <w:bookmarkEnd w:id="5"/>
      <w:bookmarkEnd w:id="6"/>
    </w:p>
    <w:p w14:paraId="0387C5CB">
      <w:pPr>
        <w:widowControl w:val="0"/>
        <w:spacing w:line="440" w:lineRule="exact"/>
        <w:ind w:firstLine="560" w:firstLineChars="200"/>
        <w:jc w:val="left"/>
        <w:textAlignment w:val="auto"/>
        <w:outlineLvl w:val="0"/>
        <w:rPr>
          <w:rFonts w:ascii="仿宋" w:hAnsi="仿宋" w:eastAsia="仿宋" w:cstheme="majorEastAsia"/>
          <w:color w:val="000000" w:themeColor="text1"/>
          <w:kern w:val="0"/>
          <w:sz w:val="28"/>
          <w:szCs w:val="28"/>
          <w14:textFill>
            <w14:solidFill>
              <w14:schemeClr w14:val="tx1"/>
            </w14:solidFill>
          </w14:textFill>
        </w:rPr>
      </w:pPr>
      <w:bookmarkStart w:id="7" w:name="_Toc144881039"/>
      <w:bookmarkStart w:id="8" w:name="_Toc144892496"/>
      <w:r>
        <w:rPr>
          <w:rFonts w:ascii="仿宋" w:hAnsi="仿宋" w:eastAsia="仿宋" w:cstheme="majorEastAsia"/>
          <w:color w:val="000000" w:themeColor="text1"/>
          <w:kern w:val="0"/>
          <w:sz w:val="28"/>
          <w:szCs w:val="28"/>
          <w14:textFill>
            <w14:solidFill>
              <w14:schemeClr w14:val="tx1"/>
            </w14:solidFill>
          </w14:textFill>
        </w:rPr>
        <w:t>2.下列采购需求中：如属于《节能产品政府采购品目清单》中政府强制采购的节能产品，则供应商所投产品须具有市场监管总局公布的《参与实施政府采购节能产品认证机构目录》中的认证机构出具的、处于有效期内的节能产品认证证书。</w:t>
      </w:r>
      <w:bookmarkEnd w:id="7"/>
      <w:bookmarkEnd w:id="8"/>
    </w:p>
    <w:p w14:paraId="5C0A7F05">
      <w:pPr>
        <w:widowControl w:val="0"/>
        <w:spacing w:line="440" w:lineRule="exact"/>
        <w:ind w:firstLine="560" w:firstLineChars="200"/>
        <w:jc w:val="left"/>
        <w:textAlignment w:val="auto"/>
        <w:outlineLvl w:val="0"/>
        <w:rPr>
          <w:rFonts w:ascii="仿宋" w:hAnsi="仿宋" w:eastAsia="仿宋" w:cstheme="majorEastAsia"/>
          <w:color w:val="000000" w:themeColor="text1"/>
          <w:kern w:val="0"/>
          <w:sz w:val="28"/>
          <w:szCs w:val="28"/>
          <w14:textFill>
            <w14:solidFill>
              <w14:schemeClr w14:val="tx1"/>
            </w14:solidFill>
          </w14:textFill>
        </w:rPr>
      </w:pPr>
      <w:bookmarkStart w:id="9" w:name="_Toc144881040"/>
      <w:bookmarkStart w:id="10" w:name="_Toc144892497"/>
      <w:r>
        <w:rPr>
          <w:rFonts w:ascii="仿宋" w:hAnsi="仿宋" w:eastAsia="仿宋" w:cstheme="majorEastAsia"/>
          <w:color w:val="000000" w:themeColor="text1"/>
          <w:kern w:val="0"/>
          <w:sz w:val="28"/>
          <w:szCs w:val="28"/>
          <w14:textFill>
            <w14:solidFill>
              <w14:schemeClr w14:val="tx1"/>
            </w14:solidFill>
          </w14:textFill>
        </w:rPr>
        <w:t>3.下列采购需求中：标注▲的产品</w:t>
      </w:r>
      <w:r>
        <w:rPr>
          <w:rFonts w:hint="eastAsia" w:ascii="仿宋" w:hAnsi="仿宋" w:eastAsia="仿宋" w:cstheme="majorEastAsia"/>
          <w:color w:val="000000" w:themeColor="text1"/>
          <w:kern w:val="0"/>
          <w:sz w:val="28"/>
          <w:szCs w:val="28"/>
          <w14:textFill>
            <w14:solidFill>
              <w14:schemeClr w14:val="tx1"/>
            </w14:solidFill>
          </w14:textFill>
        </w:rPr>
        <w:t>为</w:t>
      </w:r>
      <w:r>
        <w:rPr>
          <w:rFonts w:ascii="仿宋" w:hAnsi="仿宋" w:eastAsia="仿宋" w:cstheme="majorEastAsia"/>
          <w:color w:val="000000" w:themeColor="text1"/>
          <w:kern w:val="0"/>
          <w:sz w:val="28"/>
          <w:szCs w:val="28"/>
          <w14:textFill>
            <w14:solidFill>
              <w14:schemeClr w14:val="tx1"/>
            </w14:solidFill>
          </w14:textFill>
        </w:rPr>
        <w:t>核心产品</w:t>
      </w:r>
      <w:r>
        <w:rPr>
          <w:rFonts w:hint="eastAsia" w:ascii="仿宋" w:hAnsi="仿宋" w:eastAsia="仿宋" w:cstheme="majorEastAsia"/>
          <w:color w:val="000000" w:themeColor="text1"/>
          <w:kern w:val="0"/>
          <w:sz w:val="28"/>
          <w:szCs w:val="28"/>
          <w14:textFill>
            <w14:solidFill>
              <w14:schemeClr w14:val="tx1"/>
            </w14:solidFill>
          </w14:textFill>
        </w:rPr>
        <w:t>。</w:t>
      </w:r>
      <w:bookmarkEnd w:id="9"/>
      <w:bookmarkEnd w:id="10"/>
    </w:p>
    <w:p w14:paraId="328BE315">
      <w:pPr>
        <w:widowControl w:val="0"/>
        <w:spacing w:line="440" w:lineRule="exact"/>
        <w:ind w:firstLine="560" w:firstLineChars="200"/>
        <w:jc w:val="left"/>
        <w:textAlignment w:val="auto"/>
        <w:outlineLvl w:val="0"/>
        <w:rPr>
          <w:rFonts w:ascii="黑体" w:hAnsi="黑体" w:eastAsia="黑体" w:cstheme="majorEastAsia"/>
          <w:color w:val="000000" w:themeColor="text1"/>
          <w:kern w:val="0"/>
          <w:sz w:val="28"/>
          <w:szCs w:val="28"/>
          <w14:textFill>
            <w14:solidFill>
              <w14:schemeClr w14:val="tx1"/>
            </w14:solidFill>
          </w14:textFill>
        </w:rPr>
      </w:pPr>
      <w:bookmarkStart w:id="11" w:name="_Toc144892498"/>
      <w:bookmarkStart w:id="12" w:name="_Toc144881041"/>
      <w:r>
        <w:rPr>
          <w:rFonts w:ascii="黑体" w:hAnsi="黑体" w:eastAsia="黑体" w:cstheme="majorEastAsia"/>
          <w:color w:val="000000" w:themeColor="text1"/>
          <w:kern w:val="0"/>
          <w:sz w:val="28"/>
          <w:szCs w:val="28"/>
          <w14:textFill>
            <w14:solidFill>
              <w14:schemeClr w14:val="tx1"/>
            </w14:solidFill>
          </w14:textFill>
        </w:rPr>
        <w:t>一、采购需求前附表</w:t>
      </w:r>
      <w:bookmarkEnd w:id="11"/>
      <w:bookmarkEnd w:id="12"/>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3415"/>
        <w:gridCol w:w="4151"/>
      </w:tblGrid>
      <w:tr w14:paraId="2573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vAlign w:val="center"/>
          </w:tcPr>
          <w:p w14:paraId="755CE682">
            <w:pPr>
              <w:widowControl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序号</w:t>
            </w:r>
          </w:p>
        </w:tc>
        <w:tc>
          <w:tcPr>
            <w:tcW w:w="4015" w:type="dxa"/>
            <w:vAlign w:val="center"/>
          </w:tcPr>
          <w:p w14:paraId="6EDFD0AE">
            <w:pPr>
              <w:widowControl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条款名称</w:t>
            </w:r>
          </w:p>
        </w:tc>
        <w:tc>
          <w:tcPr>
            <w:tcW w:w="4788" w:type="dxa"/>
            <w:vAlign w:val="center"/>
          </w:tcPr>
          <w:p w14:paraId="2F849563">
            <w:pPr>
              <w:widowControl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内容、说明与要求</w:t>
            </w:r>
          </w:p>
        </w:tc>
      </w:tr>
      <w:tr w14:paraId="0520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vAlign w:val="center"/>
          </w:tcPr>
          <w:p w14:paraId="1621FC52">
            <w:pPr>
              <w:widowControl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1</w:t>
            </w:r>
          </w:p>
        </w:tc>
        <w:tc>
          <w:tcPr>
            <w:tcW w:w="4015" w:type="dxa"/>
            <w:vAlign w:val="center"/>
          </w:tcPr>
          <w:p w14:paraId="645EB49F">
            <w:pPr>
              <w:widowControl w:val="0"/>
              <w:adjustRightInd w:val="0"/>
              <w:snapToGrid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付款方式</w:t>
            </w:r>
          </w:p>
        </w:tc>
        <w:tc>
          <w:tcPr>
            <w:tcW w:w="4788" w:type="dxa"/>
            <w:vAlign w:val="center"/>
          </w:tcPr>
          <w:p w14:paraId="0DD69BE0">
            <w:pPr>
              <w:widowControl w:val="0"/>
              <w:adjustRightInd w:val="0"/>
              <w:snapToGrid w:val="0"/>
              <w:jc w:val="left"/>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合同签订确定后供应商在完成供货并验收合格后，支付合同价款的100%。</w:t>
            </w:r>
          </w:p>
        </w:tc>
      </w:tr>
      <w:tr w14:paraId="6749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vAlign w:val="center"/>
          </w:tcPr>
          <w:p w14:paraId="03DEFD96">
            <w:pPr>
              <w:widowControl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2</w:t>
            </w:r>
          </w:p>
        </w:tc>
        <w:tc>
          <w:tcPr>
            <w:tcW w:w="4015" w:type="dxa"/>
            <w:vAlign w:val="center"/>
          </w:tcPr>
          <w:p w14:paraId="2D4CBA1A">
            <w:pPr>
              <w:widowControl w:val="0"/>
              <w:adjustRightInd w:val="0"/>
              <w:snapToGrid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供货地点</w:t>
            </w:r>
          </w:p>
        </w:tc>
        <w:tc>
          <w:tcPr>
            <w:tcW w:w="4788" w:type="dxa"/>
            <w:vAlign w:val="center"/>
          </w:tcPr>
          <w:p w14:paraId="5F98D35C">
            <w:pPr>
              <w:kinsoku w:val="0"/>
              <w:overflowPunct w:val="0"/>
              <w:autoSpaceDN w:val="0"/>
              <w:adjustRightInd w:val="0"/>
              <w:snapToGrid w:val="0"/>
              <w:jc w:val="left"/>
              <w:rPr>
                <w:rFonts w:hint="default"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14:textFill>
                  <w14:solidFill>
                    <w14:schemeClr w14:val="tx1"/>
                  </w14:solidFill>
                </w14:textFill>
              </w:rPr>
              <w:t>安徽省淮南市</w:t>
            </w:r>
            <w:r>
              <w:rPr>
                <w:rFonts w:hint="default" w:ascii="仿宋" w:hAnsi="仿宋" w:eastAsia="仿宋" w:cs="宋体"/>
                <w:bCs/>
                <w:color w:val="000000" w:themeColor="text1"/>
                <w:kern w:val="0"/>
                <w:sz w:val="28"/>
                <w:szCs w:val="28"/>
                <w14:textFill>
                  <w14:solidFill>
                    <w14:schemeClr w14:val="tx1"/>
                  </w14:solidFill>
                </w14:textFill>
              </w:rPr>
              <w:t>寿县安丰塘水库</w:t>
            </w:r>
          </w:p>
        </w:tc>
      </w:tr>
      <w:tr w14:paraId="09EB1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vAlign w:val="center"/>
          </w:tcPr>
          <w:p w14:paraId="16A03E60">
            <w:pPr>
              <w:widowControl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3</w:t>
            </w:r>
          </w:p>
        </w:tc>
        <w:tc>
          <w:tcPr>
            <w:tcW w:w="4015" w:type="dxa"/>
            <w:vAlign w:val="center"/>
          </w:tcPr>
          <w:p w14:paraId="1F91E0B6">
            <w:pPr>
              <w:widowControl w:val="0"/>
              <w:adjustRightInd w:val="0"/>
              <w:snapToGrid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供货期限</w:t>
            </w:r>
          </w:p>
        </w:tc>
        <w:tc>
          <w:tcPr>
            <w:tcW w:w="4788" w:type="dxa"/>
            <w:vAlign w:val="center"/>
          </w:tcPr>
          <w:p w14:paraId="6D5676A4">
            <w:pPr>
              <w:kinsoku w:val="0"/>
              <w:overflowPunct w:val="0"/>
              <w:autoSpaceDN w:val="0"/>
              <w:adjustRightInd w:val="0"/>
              <w:snapToGrid w:val="0"/>
              <w:jc w:val="left"/>
              <w:rPr>
                <w:rFonts w:ascii="仿宋" w:hAnsi="仿宋" w:eastAsia="仿宋" w:cs="Times New Roman"/>
                <w:color w:val="000000" w:themeColor="text1"/>
                <w:sz w:val="28"/>
                <w:szCs w:val="28"/>
                <w:u w:val="single"/>
                <w14:textFill>
                  <w14:solidFill>
                    <w14:schemeClr w14:val="tx1"/>
                  </w14:solidFill>
                </w14:textFill>
              </w:rPr>
            </w:pPr>
            <w:r>
              <w:rPr>
                <w:rFonts w:hint="eastAsia" w:ascii="仿宋" w:hAnsi="仿宋" w:eastAsia="仿宋" w:cs="宋体"/>
                <w:bCs/>
                <w:color w:val="000000" w:themeColor="text1"/>
                <w:kern w:val="0"/>
                <w:sz w:val="28"/>
                <w:szCs w:val="28"/>
                <w14:textFill>
                  <w14:solidFill>
                    <w14:schemeClr w14:val="tx1"/>
                  </w14:solidFill>
                </w14:textFill>
              </w:rPr>
              <w:t>15日</w:t>
            </w:r>
          </w:p>
        </w:tc>
      </w:tr>
      <w:tr w14:paraId="1311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vAlign w:val="center"/>
          </w:tcPr>
          <w:p w14:paraId="7646502E">
            <w:pPr>
              <w:widowControl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4</w:t>
            </w:r>
          </w:p>
        </w:tc>
        <w:tc>
          <w:tcPr>
            <w:tcW w:w="4015" w:type="dxa"/>
            <w:vAlign w:val="center"/>
          </w:tcPr>
          <w:p w14:paraId="4A51A999">
            <w:pPr>
              <w:widowControl w:val="0"/>
              <w:adjustRightInd w:val="0"/>
              <w:snapToGrid w:val="0"/>
              <w:jc w:val="center"/>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免费质保期</w:t>
            </w:r>
          </w:p>
        </w:tc>
        <w:tc>
          <w:tcPr>
            <w:tcW w:w="4788" w:type="dxa"/>
            <w:vAlign w:val="center"/>
          </w:tcPr>
          <w:p w14:paraId="3B4F7D87">
            <w:pPr>
              <w:widowControl w:val="0"/>
              <w:adjustRightInd w:val="0"/>
              <w:snapToGrid w:val="0"/>
              <w:jc w:val="left"/>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宋体"/>
                <w:bCs/>
                <w:color w:val="000000" w:themeColor="text1"/>
                <w:kern w:val="0"/>
                <w:sz w:val="28"/>
                <w:szCs w:val="28"/>
                <w14:textFill>
                  <w14:solidFill>
                    <w14:schemeClr w14:val="tx1"/>
                  </w14:solidFill>
                </w14:textFill>
              </w:rPr>
              <w:t>60日</w:t>
            </w:r>
          </w:p>
        </w:tc>
      </w:tr>
    </w:tbl>
    <w:p w14:paraId="2903FE0F">
      <w:pPr>
        <w:widowControl w:val="0"/>
        <w:spacing w:line="440" w:lineRule="exact"/>
        <w:jc w:val="left"/>
        <w:textAlignment w:val="auto"/>
        <w:outlineLvl w:val="0"/>
        <w:rPr>
          <w:rFonts w:ascii="黑体" w:hAnsi="黑体" w:eastAsia="黑体" w:cstheme="majorEastAsia"/>
          <w:color w:val="000000" w:themeColor="text1"/>
          <w:kern w:val="0"/>
          <w:sz w:val="28"/>
          <w:szCs w:val="28"/>
          <w14:textFill>
            <w14:solidFill>
              <w14:schemeClr w14:val="tx1"/>
            </w14:solidFill>
          </w14:textFill>
        </w:rPr>
      </w:pPr>
      <w:bookmarkStart w:id="13" w:name="_Toc144881042"/>
      <w:bookmarkStart w:id="14" w:name="_Toc144892499"/>
      <w:r>
        <w:rPr>
          <w:rFonts w:hint="eastAsia" w:ascii="黑体" w:hAnsi="黑体" w:eastAsia="黑体" w:cstheme="majorEastAsia"/>
          <w:color w:val="000000" w:themeColor="text1"/>
          <w:kern w:val="0"/>
          <w:sz w:val="28"/>
          <w:szCs w:val="28"/>
          <w14:textFill>
            <w14:solidFill>
              <w14:schemeClr w14:val="tx1"/>
            </w14:solidFill>
          </w14:textFill>
        </w:rPr>
        <w:t>二</w:t>
      </w:r>
      <w:r>
        <w:rPr>
          <w:rFonts w:ascii="黑体" w:hAnsi="黑体" w:eastAsia="黑体" w:cstheme="majorEastAsia"/>
          <w:color w:val="000000" w:themeColor="text1"/>
          <w:kern w:val="0"/>
          <w:sz w:val="28"/>
          <w:szCs w:val="28"/>
          <w14:textFill>
            <w14:solidFill>
              <w14:schemeClr w14:val="tx1"/>
            </w14:solidFill>
          </w14:textFill>
        </w:rPr>
        <w:t>、货物需求</w:t>
      </w:r>
      <w:bookmarkEnd w:id="13"/>
      <w:bookmarkEnd w:id="14"/>
    </w:p>
    <w:tbl>
      <w:tblPr>
        <w:tblStyle w:val="5"/>
        <w:tblW w:w="931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3"/>
        <w:gridCol w:w="2438"/>
        <w:gridCol w:w="2665"/>
        <w:gridCol w:w="2219"/>
      </w:tblGrid>
      <w:tr w14:paraId="474985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47" w:hRule="atLeast"/>
          <w:jc w:val="center"/>
        </w:trPr>
        <w:tc>
          <w:tcPr>
            <w:tcW w:w="7096" w:type="dxa"/>
            <w:gridSpan w:val="3"/>
            <w:tcBorders>
              <w:top w:val="single" w:color="auto" w:sz="8" w:space="0"/>
              <w:left w:val="single" w:color="auto" w:sz="8" w:space="0"/>
              <w:bottom w:val="single" w:color="auto" w:sz="6" w:space="0"/>
              <w:right w:val="single" w:color="auto" w:sz="4" w:space="0"/>
            </w:tcBorders>
            <w:vAlign w:val="center"/>
          </w:tcPr>
          <w:p w14:paraId="13CAA0B0">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rPr>
              <w:t>采购需求</w:t>
            </w:r>
          </w:p>
        </w:tc>
        <w:tc>
          <w:tcPr>
            <w:tcW w:w="2219" w:type="dxa"/>
            <w:tcBorders>
              <w:top w:val="single" w:color="auto" w:sz="8" w:space="0"/>
              <w:left w:val="single" w:color="auto" w:sz="4" w:space="0"/>
              <w:bottom w:val="single" w:color="auto" w:sz="6" w:space="0"/>
              <w:right w:val="single" w:color="auto" w:sz="8" w:space="0"/>
            </w:tcBorders>
            <w:vAlign w:val="center"/>
          </w:tcPr>
          <w:p w14:paraId="16EDE887">
            <w:pPr>
              <w:adjustRightInd w:val="0"/>
              <w:snapToGrid w:val="0"/>
              <w:spacing w:line="360" w:lineRule="exact"/>
              <w:jc w:val="center"/>
              <w:rPr>
                <w:rFonts w:ascii="宋体" w:hAnsi="宋体" w:cs="宋体"/>
                <w:color w:val="000000"/>
                <w:kern w:val="0"/>
                <w:sz w:val="24"/>
                <w:szCs w:val="24"/>
              </w:rPr>
            </w:pPr>
          </w:p>
        </w:tc>
      </w:tr>
      <w:tr w14:paraId="190615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102" w:hRule="atLeast"/>
          <w:jc w:val="center"/>
        </w:trPr>
        <w:tc>
          <w:tcPr>
            <w:tcW w:w="1993" w:type="dxa"/>
            <w:tcBorders>
              <w:top w:val="single" w:color="auto" w:sz="6" w:space="0"/>
              <w:left w:val="single" w:color="auto" w:sz="8" w:space="0"/>
              <w:bottom w:val="single" w:color="auto" w:sz="6" w:space="0"/>
              <w:right w:val="single" w:color="auto" w:sz="6" w:space="0"/>
            </w:tcBorders>
            <w:vAlign w:val="center"/>
          </w:tcPr>
          <w:p w14:paraId="64DCCA41">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rPr>
              <w:t>采购苗种</w:t>
            </w:r>
          </w:p>
        </w:tc>
        <w:tc>
          <w:tcPr>
            <w:tcW w:w="2438" w:type="dxa"/>
            <w:tcBorders>
              <w:top w:val="single" w:color="auto" w:sz="6" w:space="0"/>
              <w:left w:val="single" w:color="auto" w:sz="6" w:space="0"/>
              <w:bottom w:val="single" w:color="auto" w:sz="6" w:space="0"/>
              <w:right w:val="single" w:color="auto" w:sz="6" w:space="0"/>
            </w:tcBorders>
            <w:vAlign w:val="center"/>
          </w:tcPr>
          <w:p w14:paraId="1D67F6C3">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rPr>
              <w:t>采购规格</w:t>
            </w:r>
          </w:p>
          <w:p w14:paraId="1FC2CB26">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rPr>
              <w:t>（公斤/条）</w:t>
            </w:r>
          </w:p>
        </w:tc>
        <w:tc>
          <w:tcPr>
            <w:tcW w:w="2665" w:type="dxa"/>
            <w:tcBorders>
              <w:top w:val="single" w:color="auto" w:sz="6" w:space="0"/>
              <w:left w:val="single" w:color="auto" w:sz="6" w:space="0"/>
              <w:bottom w:val="single" w:color="auto" w:sz="6" w:space="0"/>
              <w:right w:val="single" w:color="auto" w:sz="4" w:space="0"/>
            </w:tcBorders>
            <w:vAlign w:val="center"/>
          </w:tcPr>
          <w:p w14:paraId="0811FF20">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rPr>
              <w:t>采购数量（</w:t>
            </w:r>
            <w:r>
              <w:rPr>
                <w:rFonts w:hint="eastAsia" w:ascii="宋体" w:hAnsi="宋体" w:cs="宋体"/>
                <w:color w:val="000000"/>
                <w:kern w:val="0"/>
                <w:sz w:val="24"/>
                <w:szCs w:val="24"/>
                <w:lang w:val="en-US" w:eastAsia="zh-CN"/>
              </w:rPr>
              <w:t>公</w:t>
            </w:r>
            <w:r>
              <w:rPr>
                <w:rFonts w:hint="eastAsia" w:ascii="宋体" w:hAnsi="宋体" w:cs="宋体"/>
                <w:color w:val="000000"/>
                <w:kern w:val="0"/>
                <w:sz w:val="24"/>
                <w:szCs w:val="24"/>
              </w:rPr>
              <w:t>斤）</w:t>
            </w:r>
          </w:p>
        </w:tc>
        <w:tc>
          <w:tcPr>
            <w:tcW w:w="2219" w:type="dxa"/>
            <w:tcBorders>
              <w:top w:val="single" w:color="auto" w:sz="6" w:space="0"/>
              <w:left w:val="single" w:color="auto" w:sz="4" w:space="0"/>
              <w:bottom w:val="single" w:color="auto" w:sz="6" w:space="0"/>
              <w:right w:val="single" w:color="auto" w:sz="8" w:space="0"/>
            </w:tcBorders>
            <w:vAlign w:val="center"/>
          </w:tcPr>
          <w:p w14:paraId="368C2F03">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rPr>
              <w:t>单价限价（元/</w:t>
            </w:r>
            <w:r>
              <w:rPr>
                <w:rFonts w:hint="eastAsia" w:ascii="宋体" w:hAnsi="宋体" w:cs="宋体"/>
                <w:color w:val="000000"/>
                <w:kern w:val="0"/>
                <w:sz w:val="24"/>
                <w:szCs w:val="24"/>
                <w:lang w:val="en-US" w:eastAsia="zh-CN"/>
              </w:rPr>
              <w:t>公斤</w:t>
            </w:r>
            <w:r>
              <w:rPr>
                <w:rFonts w:hint="eastAsia" w:ascii="宋体" w:hAnsi="宋体" w:cs="宋体"/>
                <w:color w:val="000000"/>
                <w:kern w:val="0"/>
                <w:sz w:val="24"/>
                <w:szCs w:val="24"/>
              </w:rPr>
              <w:t>斤）</w:t>
            </w:r>
          </w:p>
        </w:tc>
      </w:tr>
      <w:tr w14:paraId="4341F6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993" w:type="dxa"/>
            <w:tcBorders>
              <w:top w:val="single" w:color="auto" w:sz="6" w:space="0"/>
              <w:left w:val="single" w:color="auto" w:sz="8" w:space="0"/>
              <w:bottom w:val="single" w:color="auto" w:sz="6" w:space="0"/>
              <w:right w:val="single" w:color="auto" w:sz="6" w:space="0"/>
            </w:tcBorders>
            <w:vAlign w:val="center"/>
          </w:tcPr>
          <w:p w14:paraId="45293DF4">
            <w:pPr>
              <w:adjustRightInd w:val="0"/>
              <w:snapToGrid w:val="0"/>
              <w:spacing w:line="360" w:lineRule="exact"/>
              <w:jc w:val="center"/>
              <w:rPr>
                <w:rFonts w:ascii="宋体" w:hAnsi="宋体" w:cs="宋体"/>
                <w:color w:val="000000"/>
                <w:kern w:val="0"/>
                <w:sz w:val="24"/>
                <w:szCs w:val="24"/>
              </w:rPr>
            </w:pPr>
            <w:bookmarkStart w:id="15" w:name="OLE_LINK38"/>
            <w:r>
              <w:rPr>
                <w:rFonts w:ascii="仿宋" w:hAnsi="仿宋" w:eastAsia="仿宋" w:cstheme="majorEastAsia"/>
                <w:color w:val="000000" w:themeColor="text1"/>
                <w:kern w:val="0"/>
                <w:sz w:val="28"/>
                <w:szCs w:val="28"/>
                <w14:textFill>
                  <w14:solidFill>
                    <w14:schemeClr w14:val="tx1"/>
                  </w14:solidFill>
                </w14:textFill>
              </w:rPr>
              <w:t>▲</w:t>
            </w:r>
            <w:r>
              <w:rPr>
                <w:rFonts w:hint="eastAsia" w:ascii="宋体" w:hAnsi="宋体" w:cs="宋体"/>
                <w:color w:val="000000"/>
                <w:kern w:val="0"/>
                <w:sz w:val="24"/>
                <w:szCs w:val="24"/>
              </w:rPr>
              <w:t>花鲢</w:t>
            </w:r>
            <w:bookmarkEnd w:id="15"/>
          </w:p>
        </w:tc>
        <w:tc>
          <w:tcPr>
            <w:tcW w:w="2438" w:type="dxa"/>
            <w:tcBorders>
              <w:top w:val="single" w:color="auto" w:sz="6" w:space="0"/>
              <w:left w:val="single" w:color="auto" w:sz="6" w:space="0"/>
              <w:bottom w:val="single" w:color="auto" w:sz="6" w:space="0"/>
              <w:right w:val="single" w:color="auto" w:sz="6" w:space="0"/>
            </w:tcBorders>
            <w:vAlign w:val="center"/>
          </w:tcPr>
          <w:p w14:paraId="5AEF202D">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lang w:val="en-US" w:eastAsia="zh-CN"/>
              </w:rPr>
              <w:t>0.5</w:t>
            </w:r>
            <w:r>
              <w:rPr>
                <w:rFonts w:hint="eastAsia" w:ascii="宋体" w:hAnsi="宋体" w:cs="宋体"/>
                <w:color w:val="000000"/>
                <w:kern w:val="0"/>
                <w:sz w:val="24"/>
                <w:szCs w:val="24"/>
              </w:rPr>
              <w:t>-</w:t>
            </w:r>
            <w:r>
              <w:rPr>
                <w:rFonts w:hint="eastAsia" w:ascii="宋体" w:hAnsi="宋体" w:cs="宋体"/>
                <w:color w:val="000000"/>
                <w:kern w:val="0"/>
                <w:sz w:val="24"/>
                <w:szCs w:val="24"/>
                <w:lang w:val="en-US" w:eastAsia="zh-CN"/>
              </w:rPr>
              <w:t>0.75</w:t>
            </w:r>
            <w:r>
              <w:rPr>
                <w:rFonts w:hint="eastAsia" w:ascii="宋体" w:hAnsi="宋体" w:cs="宋体"/>
                <w:color w:val="000000"/>
                <w:kern w:val="0"/>
                <w:sz w:val="24"/>
                <w:szCs w:val="24"/>
              </w:rPr>
              <w:t>公斤/条</w:t>
            </w:r>
          </w:p>
        </w:tc>
        <w:tc>
          <w:tcPr>
            <w:tcW w:w="2665" w:type="dxa"/>
            <w:tcBorders>
              <w:top w:val="single" w:color="auto" w:sz="6" w:space="0"/>
              <w:left w:val="single" w:color="auto" w:sz="6" w:space="0"/>
              <w:bottom w:val="single" w:color="auto" w:sz="6" w:space="0"/>
              <w:right w:val="single" w:color="auto" w:sz="4" w:space="0"/>
            </w:tcBorders>
            <w:vAlign w:val="center"/>
          </w:tcPr>
          <w:p w14:paraId="439C0F7A">
            <w:pPr>
              <w:adjustRightInd w:val="0"/>
              <w:snapToGrid w:val="0"/>
              <w:spacing w:line="360" w:lineRule="exact"/>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37500</w:t>
            </w:r>
          </w:p>
        </w:tc>
        <w:tc>
          <w:tcPr>
            <w:tcW w:w="2219" w:type="dxa"/>
            <w:tcBorders>
              <w:top w:val="single" w:color="auto" w:sz="6" w:space="0"/>
              <w:left w:val="single" w:color="auto" w:sz="4" w:space="0"/>
              <w:bottom w:val="single" w:color="auto" w:sz="6" w:space="0"/>
              <w:right w:val="single" w:color="auto" w:sz="8" w:space="0"/>
            </w:tcBorders>
            <w:vAlign w:val="center"/>
          </w:tcPr>
          <w:p w14:paraId="4E8934F3">
            <w:pPr>
              <w:adjustRightInd w:val="0"/>
              <w:snapToGrid w:val="0"/>
              <w:spacing w:line="360" w:lineRule="exact"/>
              <w:jc w:val="center"/>
              <w:rPr>
                <w:rFonts w:ascii="宋体" w:hAnsi="宋体" w:cs="宋体"/>
                <w:color w:val="000000"/>
                <w:kern w:val="0"/>
                <w:sz w:val="24"/>
                <w:szCs w:val="24"/>
              </w:rPr>
            </w:pPr>
            <w:r>
              <w:rPr>
                <w:rFonts w:hint="eastAsia" w:ascii="宋体" w:hAnsi="宋体" w:cs="宋体"/>
                <w:color w:val="000000"/>
                <w:kern w:val="0"/>
                <w:sz w:val="24"/>
                <w:szCs w:val="24"/>
                <w:lang w:val="en-US" w:eastAsia="zh-CN"/>
              </w:rPr>
              <w:t>12.2</w:t>
            </w:r>
            <w:r>
              <w:rPr>
                <w:rFonts w:hint="eastAsia" w:ascii="宋体" w:hAnsi="宋体" w:cs="宋体"/>
                <w:color w:val="000000"/>
                <w:kern w:val="0"/>
                <w:sz w:val="24"/>
                <w:szCs w:val="24"/>
              </w:rPr>
              <w:t>元</w:t>
            </w:r>
          </w:p>
        </w:tc>
      </w:tr>
      <w:tr w14:paraId="1E4AEE8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315" w:type="dxa"/>
            <w:gridSpan w:val="4"/>
            <w:tcBorders>
              <w:top w:val="single" w:color="auto" w:sz="6" w:space="0"/>
              <w:left w:val="single" w:color="auto" w:sz="8" w:space="0"/>
              <w:bottom w:val="single" w:color="auto" w:sz="8" w:space="0"/>
              <w:right w:val="single" w:color="auto" w:sz="8" w:space="0"/>
            </w:tcBorders>
            <w:vAlign w:val="center"/>
          </w:tcPr>
          <w:p w14:paraId="689D55B0">
            <w:pPr>
              <w:topLinePunct/>
              <w:autoSpaceDE w:val="0"/>
              <w:adjustRightInd w:val="0"/>
              <w:snapToGrid w:val="0"/>
              <w:spacing w:beforeLines="50" w:afterLines="50"/>
              <w:jc w:val="left"/>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响应文件中须提供合格且有效期内的花鲢苗种药残检验结果单扫描件</w:t>
            </w:r>
            <w:r>
              <w:rPr>
                <w:rFonts w:hint="eastAsia" w:ascii="仿宋" w:hAnsi="仿宋" w:eastAsia="仿宋" w:cs="宋体"/>
                <w:b/>
                <w:bCs/>
                <w:color w:val="000000"/>
                <w:kern w:val="0"/>
                <w:sz w:val="28"/>
                <w:szCs w:val="28"/>
                <w:lang w:val="en-US" w:eastAsia="zh-CN"/>
              </w:rPr>
              <w:t>及产地检疫合格证明</w:t>
            </w:r>
            <w:r>
              <w:rPr>
                <w:rFonts w:hint="eastAsia" w:ascii="仿宋" w:hAnsi="仿宋" w:eastAsia="仿宋" w:cs="宋体"/>
                <w:b/>
                <w:bCs/>
                <w:color w:val="000000"/>
                <w:kern w:val="0"/>
                <w:sz w:val="28"/>
                <w:szCs w:val="28"/>
              </w:rPr>
              <w:t>。</w:t>
            </w:r>
          </w:p>
        </w:tc>
      </w:tr>
    </w:tbl>
    <w:p w14:paraId="6598D11D">
      <w:pPr>
        <w:spacing w:line="480" w:lineRule="exact"/>
        <w:rPr>
          <w:rFonts w:hint="eastAsia" w:ascii="宋体" w:hAnsi="宋体" w:cs="宋体"/>
          <w:b/>
          <w:bCs/>
          <w:color w:val="000000"/>
          <w:sz w:val="28"/>
          <w:szCs w:val="28"/>
        </w:rPr>
      </w:pPr>
    </w:p>
    <w:p w14:paraId="726E4126">
      <w:pPr>
        <w:spacing w:line="480" w:lineRule="exact"/>
        <w:rPr>
          <w:rFonts w:ascii="宋体" w:hAnsi="宋体" w:cs="宋体"/>
          <w:b/>
          <w:bCs/>
          <w:color w:val="000000"/>
          <w:sz w:val="28"/>
          <w:szCs w:val="28"/>
        </w:rPr>
      </w:pPr>
      <w:r>
        <w:rPr>
          <w:rFonts w:hint="eastAsia" w:ascii="宋体" w:hAnsi="宋体" w:cs="宋体"/>
          <w:b/>
          <w:bCs/>
          <w:color w:val="000000"/>
          <w:sz w:val="28"/>
          <w:szCs w:val="28"/>
        </w:rPr>
        <w:t>（一）技术要求</w:t>
      </w:r>
    </w:p>
    <w:p w14:paraId="6F4B7FA9">
      <w:pPr>
        <w:spacing w:line="480" w:lineRule="exact"/>
        <w:ind w:firstLine="638" w:firstLineChars="228"/>
        <w:rPr>
          <w:rFonts w:ascii="宋体" w:hAnsi="宋体" w:cs="宋体"/>
          <w:color w:val="000000"/>
          <w:sz w:val="28"/>
          <w:szCs w:val="28"/>
        </w:rPr>
      </w:pPr>
      <w:bookmarkStart w:id="16" w:name="OLE_LINK35"/>
      <w:r>
        <w:rPr>
          <w:rFonts w:hint="eastAsia" w:ascii="宋体" w:hAnsi="宋体" w:cs="宋体"/>
          <w:color w:val="000000"/>
          <w:sz w:val="28"/>
          <w:szCs w:val="28"/>
        </w:rPr>
        <w:t>1、质量要求：</w:t>
      </w:r>
      <w:bookmarkStart w:id="17" w:name="OLE_LINK36"/>
      <w:r>
        <w:rPr>
          <w:rFonts w:hint="eastAsia" w:ascii="宋体" w:hAnsi="宋体" w:cs="宋体"/>
          <w:color w:val="000000"/>
          <w:sz w:val="28"/>
          <w:szCs w:val="28"/>
        </w:rPr>
        <w:t>放流物种的亲本应来源于放流水域原产地天然水域、水产种质资源保护区或省级以上原种场保育的原种，放流物种必须是本地原种或子一代</w:t>
      </w:r>
      <w:bookmarkEnd w:id="17"/>
      <w:r>
        <w:rPr>
          <w:rFonts w:hint="eastAsia" w:ascii="宋体" w:hAnsi="宋体" w:cs="宋体"/>
          <w:color w:val="000000"/>
          <w:sz w:val="28"/>
          <w:szCs w:val="28"/>
        </w:rPr>
        <w:t>。</w:t>
      </w:r>
    </w:p>
    <w:p w14:paraId="2B688849">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2、放流苗种必须进行疫病检测和药残检验，确保苗种优质安全，种质纯正，体质健壮无病害，规格较为均匀。必须配合用户做好技术支持（费用包含在投标总价中）。</w:t>
      </w:r>
      <w:bookmarkEnd w:id="16"/>
    </w:p>
    <w:p w14:paraId="1F421E45">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3、本次采购苗种包括运输及投放，供应商需在采购人的监督下安全投放到指定区域，投放要求为实际投放量，供应商须注意在储运投放实施过程中的损耗风险。</w:t>
      </w:r>
    </w:p>
    <w:p w14:paraId="2E149B94">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4、供应商还须在投标文件中提供以下材料：实施方案，包括苗种组织方式、操作方案、运输方案、投放方案、安全保障措施、时间安排。</w:t>
      </w:r>
    </w:p>
    <w:p w14:paraId="14BE0C35">
      <w:pPr>
        <w:spacing w:line="480" w:lineRule="exact"/>
        <w:rPr>
          <w:rFonts w:ascii="宋体" w:hAnsi="宋体" w:cs="宋体"/>
          <w:b/>
          <w:bCs/>
          <w:color w:val="000000"/>
          <w:sz w:val="28"/>
          <w:szCs w:val="28"/>
        </w:rPr>
      </w:pPr>
      <w:r>
        <w:rPr>
          <w:rFonts w:hint="eastAsia" w:ascii="宋体" w:hAnsi="宋体" w:cs="宋体"/>
          <w:b/>
          <w:bCs/>
          <w:color w:val="000000"/>
          <w:sz w:val="28"/>
          <w:szCs w:val="28"/>
        </w:rPr>
        <w:t>（二）工作范围</w:t>
      </w:r>
    </w:p>
    <w:p w14:paraId="43A6E8FB">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 xml:space="preserve">各供应商按国家有关标准及规范完成下列工作： </w:t>
      </w:r>
    </w:p>
    <w:p w14:paraId="6AFE76F1">
      <w:pPr>
        <w:widowControl w:val="0"/>
        <w:numPr>
          <w:ilvl w:val="0"/>
          <w:numId w:val="1"/>
        </w:numPr>
        <w:spacing w:line="480" w:lineRule="exact"/>
        <w:ind w:firstLine="638" w:firstLineChars="228"/>
        <w:textAlignment w:val="auto"/>
        <w:rPr>
          <w:rFonts w:ascii="宋体" w:hAnsi="宋体" w:cs="宋体"/>
          <w:color w:val="000000"/>
          <w:sz w:val="28"/>
          <w:szCs w:val="28"/>
        </w:rPr>
      </w:pPr>
      <w:r>
        <w:rPr>
          <w:rFonts w:hint="eastAsia" w:ascii="宋体" w:hAnsi="宋体" w:cs="宋体"/>
          <w:color w:val="000000"/>
          <w:sz w:val="28"/>
          <w:szCs w:val="28"/>
        </w:rPr>
        <w:t>提供本次采购所需的鱼苗产品；</w:t>
      </w:r>
    </w:p>
    <w:p w14:paraId="1C805AAB">
      <w:pPr>
        <w:widowControl w:val="0"/>
        <w:numPr>
          <w:ilvl w:val="0"/>
          <w:numId w:val="1"/>
        </w:numPr>
        <w:spacing w:line="480" w:lineRule="exact"/>
        <w:ind w:firstLine="638" w:firstLineChars="228"/>
        <w:textAlignment w:val="auto"/>
        <w:rPr>
          <w:rFonts w:ascii="宋体" w:hAnsi="宋体" w:cs="宋体"/>
          <w:color w:val="000000"/>
          <w:sz w:val="28"/>
          <w:szCs w:val="28"/>
        </w:rPr>
      </w:pPr>
      <w:r>
        <w:rPr>
          <w:rFonts w:hint="eastAsia" w:ascii="宋体" w:hAnsi="宋体" w:cs="宋体"/>
          <w:color w:val="000000"/>
          <w:sz w:val="28"/>
          <w:szCs w:val="28"/>
        </w:rPr>
        <w:t>完成鱼苗产品的提供、储运、投放、验收等。</w:t>
      </w:r>
    </w:p>
    <w:p w14:paraId="1052963A">
      <w:pPr>
        <w:spacing w:line="480" w:lineRule="exact"/>
        <w:rPr>
          <w:rFonts w:ascii="宋体" w:hAnsi="宋体" w:cs="宋体"/>
          <w:b/>
          <w:bCs/>
          <w:color w:val="000000"/>
          <w:sz w:val="28"/>
          <w:szCs w:val="28"/>
        </w:rPr>
      </w:pPr>
      <w:r>
        <w:rPr>
          <w:rFonts w:hint="eastAsia" w:ascii="宋体" w:hAnsi="宋体" w:cs="宋体"/>
          <w:b/>
          <w:bCs/>
          <w:color w:val="000000"/>
          <w:sz w:val="28"/>
          <w:szCs w:val="28"/>
        </w:rPr>
        <w:t>（三）、增殖放流生物检验检疫与验收标准</w:t>
      </w:r>
    </w:p>
    <w:p w14:paraId="6EF391B3">
      <w:pPr>
        <w:pStyle w:val="4"/>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1、验收标准：《水生生物增殖放流技术规程》（sc/t9401-2010）、《安徽省水生生物增殖放流技术规范》（db34/t1005-2009）和合同规定的验收评定标准等规范验收，能够满足采购方提出的要求。</w:t>
      </w:r>
    </w:p>
    <w:p w14:paraId="6D6A1A9A">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2、验收方法：</w:t>
      </w:r>
    </w:p>
    <w:p w14:paraId="76491D93">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（1）品种验收：验收小组验收运输到放流点的品种，指定品种应具备其形态特征优良性状。</w:t>
      </w:r>
    </w:p>
    <w:p w14:paraId="3DA01140">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（2）规格验收：验收小组对每批次的不同品种种苗各随机抽样（称重并拍照留存），重量达到规格的数量应达到90%以上，且平均重量均达到规定规格。</w:t>
      </w:r>
    </w:p>
    <w:p w14:paraId="2E7F8605">
      <w:pPr>
        <w:spacing w:line="480" w:lineRule="exact"/>
        <w:ind w:firstLine="638" w:firstLineChars="228"/>
        <w:rPr>
          <w:rFonts w:ascii="宋体" w:hAnsi="宋体" w:cs="宋体"/>
          <w:color w:val="000000"/>
          <w:sz w:val="28"/>
          <w:szCs w:val="28"/>
        </w:rPr>
      </w:pPr>
      <w:r>
        <w:rPr>
          <w:rFonts w:hint="eastAsia" w:ascii="宋体" w:hAnsi="宋体" w:cs="宋体"/>
          <w:color w:val="000000"/>
          <w:sz w:val="28"/>
          <w:szCs w:val="28"/>
        </w:rPr>
        <w:t>（3）质量验收：苗种的成活率应达到90%，达不到的不予验收，苗种退回。苗种成活率达到90%以上的，只验收成活的数量。</w:t>
      </w:r>
    </w:p>
    <w:p w14:paraId="7C3F0B27">
      <w:pPr>
        <w:pStyle w:val="3"/>
        <w:ind w:firstLine="630" w:firstLineChars="225"/>
        <w:rPr>
          <w:rFonts w:ascii="宋体" w:hAnsi="宋体" w:cs="宋体"/>
          <w:color w:val="000000"/>
          <w:sz w:val="28"/>
          <w:szCs w:val="28"/>
        </w:rPr>
      </w:pPr>
      <w:r>
        <w:rPr>
          <w:rFonts w:hint="eastAsia" w:ascii="宋体" w:hAnsi="宋体" w:cs="宋体"/>
          <w:color w:val="000000"/>
          <w:sz w:val="28"/>
          <w:szCs w:val="28"/>
        </w:rPr>
        <w:t>（4）鱼苗原生长环境，应与放养水域水环境相匹配，保障鱼苗放流后有较高的成活率。</w:t>
      </w:r>
      <w:bookmarkStart w:id="18" w:name="_GoBack"/>
      <w:bookmarkEnd w:id="18"/>
    </w:p>
    <w:p w14:paraId="0B59D75A">
      <w:pPr>
        <w:pStyle w:val="3"/>
        <w:ind w:firstLine="630" w:firstLineChars="225"/>
        <w:rPr>
          <w:rFonts w:ascii="仿宋" w:hAnsi="仿宋" w:eastAsia="仿宋" w:cs="仿宋"/>
          <w:color w:val="000000" w:themeColor="text1"/>
          <w:kern w:val="2"/>
          <w:sz w:val="28"/>
          <w:szCs w:val="28"/>
          <w14:textFill>
            <w14:solidFill>
              <w14:schemeClr w14:val="tx1"/>
            </w14:solidFill>
          </w14:textFill>
        </w:rPr>
      </w:pPr>
      <w:r>
        <w:rPr>
          <w:rFonts w:hint="eastAsia" w:ascii="宋体" w:hAnsi="宋体" w:cs="宋体"/>
          <w:color w:val="000000"/>
          <w:sz w:val="28"/>
          <w:szCs w:val="28"/>
        </w:rPr>
        <w:t>（5）质保期60日</w:t>
      </w:r>
      <w:r>
        <w:rPr>
          <w:rFonts w:hint="eastAsia" w:ascii="仿宋" w:hAnsi="仿宋" w:eastAsia="仿宋" w:cs="仿宋"/>
          <w:color w:val="000000" w:themeColor="text1"/>
          <w:kern w:val="2"/>
          <w:sz w:val="28"/>
          <w:szCs w:val="28"/>
          <w14:textFill>
            <w14:solidFill>
              <w14:schemeClr w14:val="tx1"/>
            </w14:solidFill>
          </w14:textFill>
        </w:rPr>
        <w:t xml:space="preserve"> </w:t>
      </w:r>
    </w:p>
    <w:p w14:paraId="64B1A579">
      <w:pPr>
        <w:pStyle w:val="3"/>
        <w:ind w:firstLine="0"/>
        <w:rPr>
          <w:rFonts w:ascii="黑体" w:hAnsi="黑体" w:eastAsia="黑体" w:cs="仿宋"/>
          <w:color w:val="000000" w:themeColor="text1"/>
          <w:kern w:val="2"/>
          <w:sz w:val="28"/>
          <w:szCs w:val="28"/>
          <w14:textFill>
            <w14:solidFill>
              <w14:schemeClr w14:val="tx1"/>
            </w14:solidFill>
          </w14:textFill>
        </w:rPr>
      </w:pPr>
      <w:r>
        <w:rPr>
          <w:rFonts w:hint="eastAsia" w:ascii="黑体" w:hAnsi="黑体" w:eastAsia="黑体" w:cs="仿宋"/>
          <w:color w:val="000000" w:themeColor="text1"/>
          <w:kern w:val="2"/>
          <w:sz w:val="28"/>
          <w:szCs w:val="28"/>
          <w:lang w:val="en-US" w:eastAsia="zh-CN"/>
          <w14:textFill>
            <w14:solidFill>
              <w14:schemeClr w14:val="tx1"/>
            </w14:solidFill>
          </w14:textFill>
        </w:rPr>
        <w:t>三</w:t>
      </w:r>
      <w:r>
        <w:rPr>
          <w:rFonts w:hint="eastAsia" w:ascii="黑体" w:hAnsi="黑体" w:eastAsia="黑体" w:cs="仿宋"/>
          <w:color w:val="000000" w:themeColor="text1"/>
          <w:kern w:val="2"/>
          <w:sz w:val="28"/>
          <w:szCs w:val="28"/>
          <w14:textFill>
            <w14:solidFill>
              <w14:schemeClr w14:val="tx1"/>
            </w14:solidFill>
          </w14:textFill>
        </w:rPr>
        <w:t xml:space="preserve">、报价要求 </w:t>
      </w:r>
    </w:p>
    <w:p w14:paraId="3EB9E6CE">
      <w:pPr>
        <w:pStyle w:val="3"/>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投标供应商必须根据采购需求中采购需求表逐项对应填写询价货物产品名称、品牌及型号、技术参数及要求进行报价。</w:t>
      </w:r>
    </w:p>
    <w:p w14:paraId="08D73794">
      <w:pPr>
        <w:pStyle w:val="3"/>
        <w:ind w:firstLine="0"/>
        <w:rPr>
          <w:rFonts w:ascii="黑体" w:hAnsi="黑体" w:eastAsia="黑体" w:cstheme="majorEastAsia"/>
          <w:color w:val="000000" w:themeColor="text1"/>
          <w:sz w:val="28"/>
          <w:szCs w:val="28"/>
          <w14:textFill>
            <w14:solidFill>
              <w14:schemeClr w14:val="tx1"/>
            </w14:solidFill>
          </w14:textFill>
        </w:rPr>
      </w:pPr>
      <w:r>
        <w:rPr>
          <w:rFonts w:hint="eastAsia" w:ascii="黑体" w:hAnsi="黑体" w:eastAsia="黑体" w:cstheme="majorEastAsia"/>
          <w:color w:val="000000" w:themeColor="text1"/>
          <w:sz w:val="28"/>
          <w:szCs w:val="28"/>
          <w:lang w:val="en-US" w:eastAsia="zh-CN"/>
          <w14:textFill>
            <w14:solidFill>
              <w14:schemeClr w14:val="tx1"/>
            </w14:solidFill>
          </w14:textFill>
        </w:rPr>
        <w:t>四</w:t>
      </w:r>
      <w:r>
        <w:rPr>
          <w:rFonts w:hint="eastAsia" w:ascii="黑体" w:hAnsi="黑体" w:eastAsia="黑体" w:cstheme="majorEastAsia"/>
          <w:color w:val="000000" w:themeColor="text1"/>
          <w:sz w:val="28"/>
          <w:szCs w:val="28"/>
          <w14:textFill>
            <w14:solidFill>
              <w14:schemeClr w14:val="tx1"/>
            </w14:solidFill>
          </w14:textFill>
        </w:rPr>
        <w:t>、其他要求</w:t>
      </w:r>
    </w:p>
    <w:p w14:paraId="5C9E2276">
      <w:pPr>
        <w:snapToGrid w:val="0"/>
        <w:spacing w:line="500" w:lineRule="exact"/>
        <w:ind w:firstLine="560" w:firstLineChars="200"/>
        <w:jc w:val="left"/>
        <w:rPr>
          <w:rStyle w:val="11"/>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采购需求中技术参数，不得负偏离，必须全部满足采购需求。</w:t>
      </w:r>
    </w:p>
    <w:p w14:paraId="6D799C5A">
      <w:pPr>
        <w:rPr>
          <w:color w:val="000000" w:themeColor="text1"/>
          <w14:textFill>
            <w14:solidFill>
              <w14:schemeClr w14:val="tx1"/>
            </w14:solidFill>
          </w14:textFill>
        </w:rPr>
      </w:pPr>
    </w:p>
    <w:p w14:paraId="7C1685B2">
      <w:pPr>
        <w:pStyle w:val="3"/>
        <w:rPr>
          <w:rFonts w:eastAsiaTheme="minorEastAsia"/>
          <w:color w:val="000000" w:themeColor="text1"/>
          <w14:textFill>
            <w14:solidFill>
              <w14:schemeClr w14:val="tx1"/>
            </w14:solidFill>
          </w14:textFill>
        </w:rPr>
      </w:pPr>
    </w:p>
    <w:p w14:paraId="3F35ED41">
      <w:pPr>
        <w:rPr>
          <w:color w:val="000000" w:themeColor="text1"/>
          <w14:textFill>
            <w14:solidFill>
              <w14:schemeClr w14:val="tx1"/>
            </w14:solidFill>
          </w14:textFill>
        </w:rPr>
      </w:pPr>
    </w:p>
    <w:p w14:paraId="7D41FCAA">
      <w:pPr>
        <w:rPr>
          <w:color w:val="000000" w:themeColor="text1"/>
          <w14:textFill>
            <w14:solidFill>
              <w14:schemeClr w14:val="tx1"/>
            </w14:solidFill>
          </w14:textFill>
        </w:rPr>
      </w:pPr>
    </w:p>
    <w:p w14:paraId="1799E84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93A134"/>
    <w:multiLevelType w:val="singleLevel"/>
    <w:tmpl w:val="3E93A13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693941"/>
    <w:rsid w:val="7C693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Calibri" w:hAnsi="Calibri" w:eastAsia="宋体" w:cstheme="minorBidi"/>
      <w:kern w:val="2"/>
      <w:sz w:val="21"/>
      <w:szCs w:val="21"/>
      <w:lang w:val="en-US" w:eastAsia="zh-CN" w:bidi="ar-SA"/>
    </w:rPr>
  </w:style>
  <w:style w:type="paragraph" w:styleId="2">
    <w:name w:val="heading 1"/>
    <w:basedOn w:val="1"/>
    <w:next w:val="1"/>
    <w:link w:val="9"/>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jc w:val="left"/>
    </w:pPr>
    <w:rPr>
      <w:rFonts w:eastAsia="Calibri" w:cs="Times New Roman"/>
      <w:kern w:val="0"/>
      <w:sz w:val="20"/>
      <w:szCs w:val="20"/>
    </w:rPr>
  </w:style>
  <w:style w:type="paragraph" w:styleId="4">
    <w:name w:val="annotation text"/>
    <w:basedOn w:val="1"/>
    <w:qFormat/>
    <w:uiPriority w:val="0"/>
    <w:pPr>
      <w:widowControl w:val="0"/>
      <w:jc w:val="left"/>
      <w:textAlignment w:val="auto"/>
    </w:pPr>
    <w:rPr>
      <w:rFonts w:cs="Times New Roman"/>
      <w:szCs w:val="20"/>
    </w:rPr>
  </w:style>
  <w:style w:type="character" w:styleId="7">
    <w:name w:val="Emphasis"/>
    <w:basedOn w:val="6"/>
    <w:qFormat/>
    <w:uiPriority w:val="0"/>
    <w:rPr>
      <w:i/>
    </w:rPr>
  </w:style>
  <w:style w:type="paragraph" w:customStyle="1" w:styleId="8">
    <w:name w:val="Heading1"/>
    <w:basedOn w:val="1"/>
    <w:next w:val="1"/>
    <w:qFormat/>
    <w:uiPriority w:val="0"/>
    <w:pPr>
      <w:jc w:val="left"/>
    </w:pPr>
    <w:rPr>
      <w:rFonts w:ascii="Times New Roman" w:hAnsi="Times New Roman" w:cs="Calibri"/>
      <w:b/>
      <w:bCs/>
      <w:kern w:val="44"/>
      <w:sz w:val="30"/>
      <w:szCs w:val="30"/>
    </w:rPr>
  </w:style>
  <w:style w:type="character" w:customStyle="1" w:styleId="9">
    <w:name w:val="标题 1 Char"/>
    <w:link w:val="2"/>
    <w:qFormat/>
    <w:uiPriority w:val="0"/>
    <w:rPr>
      <w:b/>
      <w:bCs/>
      <w:kern w:val="44"/>
      <w:sz w:val="44"/>
      <w:szCs w:val="44"/>
    </w:rPr>
  </w:style>
  <w:style w:type="table" w:customStyle="1" w:styleId="10">
    <w:name w:val="网格型2"/>
    <w:basedOn w:val="5"/>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NormalCharacter"/>
    <w:semiHidden/>
    <w:qFormat/>
    <w:uiPriority w:val="0"/>
    <w:rPr>
      <w:rFonts w:ascii="Calibri" w:hAnsi="Calibri" w:eastAsia="宋体" w:cstheme="minorBidi"/>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2026-04-17T08:10:00Z</dcterms:created>
  <dc:creator>泛微网络</dc:creator>
  <cp:lastModifiedBy>泛微网络</cp:lastModifiedBy>
  <dcterms:modified xsi:type="dcterms:W3CDTF">2026-04-17T08:19:30Z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C9800657757041DF85ED837B1469CF4C_11</vt:lpwstr>
  </property>
  <property fmtid="{D5CDD505-2E9C-101B-9397-08002B2CF9AE}" pid="4" name="KSOTemplateDocerSaveRecord">
    <vt:lpwstr>eyJoZGlkIjoiMzUwMzM1MmJlODQ2MDUyMzA3OTI5Yzk1ZWVkM2I4NjAiLCJ1c2VySWQiOiIxMjU5NDEyOCJ9</vt:lpwstr>
  </property>
</Properties>
</file>