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261705">
      <w:pPr>
        <w:pStyle w:val="13"/>
        <w:widowControl/>
        <w:shd w:val="clear" w:color="auto" w:fill="FFFFFF"/>
        <w:rPr>
          <w:highlight w:val="none"/>
        </w:rPr>
      </w:pPr>
      <w:bookmarkStart w:id="0" w:name="_GoBack"/>
      <w:r>
        <w:rPr>
          <w:highlight w:val="none"/>
        </w:rPr>
        <w:t>显示屏采购</w:t>
      </w:r>
      <w:r>
        <w:rPr>
          <w:rFonts w:hint="eastAsia"/>
          <w:highlight w:val="none"/>
          <w:lang w:val="en-US" w:eastAsia="zh-CN"/>
        </w:rPr>
        <w:t>安装</w:t>
      </w:r>
      <w:r>
        <w:rPr>
          <w:highlight w:val="none"/>
        </w:rPr>
        <w:t>项目需求</w:t>
      </w:r>
    </w:p>
    <w:bookmarkEnd w:id="0"/>
    <w:p w14:paraId="699D70EC">
      <w:pPr>
        <w:pStyle w:val="2"/>
        <w:widowControl/>
        <w:numPr>
          <w:ilvl w:val="0"/>
          <w:numId w:val="1"/>
        </w:numPr>
        <w:tabs>
          <w:tab w:val="left" w:pos="1203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项目概况</w:t>
      </w:r>
    </w:p>
    <w:p w14:paraId="6352CEBE">
      <w:pPr>
        <w:pStyle w:val="11"/>
        <w:widowControl/>
        <w:ind w:left="0" w:leftChars="0" w:firstLine="480" w:firstLineChars="200"/>
        <w:rPr>
          <w:rFonts w:hint="eastAsia" w:ascii="Times New Roman" w:hAnsi="Times New Roman" w:eastAsia="宋体" w:cs="Times New Roman"/>
          <w:sz w:val="24"/>
          <w:lang w:eastAsia="zh-CN"/>
        </w:rPr>
      </w:pPr>
      <w:r>
        <w:rPr>
          <w:rFonts w:ascii="Times New Roman" w:hAnsi="Times New Roman" w:eastAsia="宋体" w:cs="Times New Roman"/>
          <w:sz w:val="24"/>
        </w:rPr>
        <w:t>本项目为室内高清全彩LED显示屏采购及安装调试项目，整体屏幕尺寸规格：</w:t>
      </w:r>
      <w:r>
        <w:rPr>
          <w:rStyle w:val="16"/>
          <w:rFonts w:ascii="Times New Roman" w:hAnsi="Times New Roman" w:eastAsia="宋体" w:cs="Times New Roman"/>
          <w:sz w:val="24"/>
        </w:rPr>
        <w:t>宽度4.8m、高度2.08m</w:t>
      </w:r>
      <w:r>
        <w:rPr>
          <w:rFonts w:ascii="Times New Roman" w:hAnsi="Times New Roman" w:eastAsia="宋体" w:cs="Times New Roman"/>
          <w:sz w:val="24"/>
        </w:rPr>
        <w:t>，采用</w:t>
      </w:r>
      <w:r>
        <w:rPr>
          <w:rStyle w:val="16"/>
          <w:rFonts w:ascii="Times New Roman" w:hAnsi="Times New Roman" w:eastAsia="宋体" w:cs="Times New Roman"/>
          <w:sz w:val="24"/>
        </w:rPr>
        <w:t>P2.5小间距全彩LED显示模组</w:t>
      </w:r>
      <w:r>
        <w:rPr>
          <w:rFonts w:ascii="Times New Roman" w:hAnsi="Times New Roman" w:eastAsia="宋体" w:cs="Times New Roman"/>
          <w:sz w:val="24"/>
        </w:rPr>
        <w:t>，适用于视频播放、图文公示、会议投屏等场景，要求显示画面高清细腻、色彩均匀、运行稳定、维护便捷，整体施工规范美观，满足长期常态化使用需求。</w:t>
      </w:r>
    </w:p>
    <w:p w14:paraId="0617BC19">
      <w:pPr>
        <w:pStyle w:val="2"/>
        <w:widowControl/>
        <w:numPr>
          <w:ilvl w:val="0"/>
          <w:numId w:val="1"/>
        </w:numPr>
        <w:tabs>
          <w:tab w:val="left" w:pos="1203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核心规格参数</w:t>
      </w:r>
    </w:p>
    <w:p w14:paraId="34891D0E">
      <w:pPr>
        <w:pStyle w:val="11"/>
        <w:widowControl/>
        <w:numPr>
          <w:ilvl w:val="0"/>
          <w:numId w:val="2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屏幕整体尺寸：</w:t>
      </w:r>
      <w:r>
        <w:rPr>
          <w:rStyle w:val="16"/>
          <w:rFonts w:ascii="Times New Roman" w:hAnsi="Times New Roman" w:eastAsia="宋体" w:cs="Times New Roman"/>
          <w:sz w:val="24"/>
        </w:rPr>
        <w:t>净宽4.8m×净高2.08m</w:t>
      </w:r>
      <w:r>
        <w:rPr>
          <w:rStyle w:val="16"/>
          <w:rFonts w:hint="eastAsia" w:cs="Times New Roman"/>
          <w:sz w:val="24"/>
          <w:lang w:eastAsia="zh-CN"/>
        </w:rPr>
        <w:t>（</w:t>
      </w:r>
      <w:r>
        <w:rPr>
          <w:rFonts w:ascii="宋体" w:hAnsi="宋体" w:eastAsia="宋体" w:cs="宋体"/>
          <w:sz w:val="24"/>
          <w:szCs w:val="24"/>
        </w:rPr>
        <w:t>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5CM</w:t>
      </w:r>
      <w:r>
        <w:rPr>
          <w:rStyle w:val="16"/>
          <w:rFonts w:hint="eastAsia" w:cs="Times New Roman"/>
          <w:sz w:val="24"/>
          <w:lang w:eastAsia="zh-CN"/>
        </w:rPr>
        <w:t>）</w:t>
      </w:r>
      <w:r>
        <w:rPr>
          <w:rFonts w:ascii="Times New Roman" w:hAnsi="Times New Roman" w:eastAsia="宋体" w:cs="Times New Roman"/>
          <w:sz w:val="24"/>
        </w:rPr>
        <w:t>，整屏无明显拼缝、无色彩偏差、无暗区亮点，整体平整美观。</w:t>
      </w:r>
    </w:p>
    <w:p w14:paraId="25DCACE9">
      <w:pPr>
        <w:pStyle w:val="11"/>
        <w:widowControl/>
        <w:numPr>
          <w:ilvl w:val="0"/>
          <w:numId w:val="2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屏幕规格：</w:t>
      </w:r>
      <w:r>
        <w:rPr>
          <w:rStyle w:val="16"/>
          <w:rFonts w:ascii="Times New Roman" w:hAnsi="Times New Roman" w:eastAsia="宋体" w:cs="Times New Roman"/>
          <w:sz w:val="24"/>
        </w:rPr>
        <w:t>室内P2.5全彩LED显示屏</w:t>
      </w:r>
    </w:p>
    <w:p w14:paraId="639BADF2">
      <w:pPr>
        <w:pStyle w:val="11"/>
        <w:widowControl/>
        <w:numPr>
          <w:ilvl w:val="0"/>
          <w:numId w:val="2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像素点间距：2.5mm</w:t>
      </w:r>
    </w:p>
    <w:p w14:paraId="746D9AFF">
      <w:pPr>
        <w:pStyle w:val="11"/>
        <w:widowControl/>
        <w:numPr>
          <w:ilvl w:val="0"/>
          <w:numId w:val="2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模组标准尺寸：320mm×160mm，标准通用模组，兼容性强，后期维修更换便捷</w:t>
      </w:r>
    </w:p>
    <w:p w14:paraId="7B8160D5">
      <w:pPr>
        <w:pStyle w:val="11"/>
        <w:widowControl/>
        <w:numPr>
          <w:ilvl w:val="0"/>
          <w:numId w:val="2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整屏分辨率：横向1536点、纵向672点，整屏高清显示，适配16:9视频画面、PPT、图文、视频投屏等常规素材</w:t>
      </w:r>
    </w:p>
    <w:p w14:paraId="62046CDB">
      <w:pPr>
        <w:pStyle w:val="2"/>
        <w:widowControl/>
        <w:numPr>
          <w:ilvl w:val="0"/>
          <w:numId w:val="1"/>
        </w:numPr>
        <w:tabs>
          <w:tab w:val="left" w:pos="1203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屏体详细技术参数</w:t>
      </w:r>
    </w:p>
    <w:p w14:paraId="497300D9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发光器件：采用表贴三合一SMD封装灯珠，1R1G1B真彩色显示，色彩还原度高，画质清晰均匀</w:t>
      </w:r>
    </w:p>
    <w:p w14:paraId="6730302D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屏幕亮度：450cd/㎡-600cd/㎡，支持自动/手动亮度调节，室内观看不刺眼、无反光，适配室内常规光线环境</w:t>
      </w:r>
    </w:p>
    <w:p w14:paraId="40E0D4C8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灰度等级：≥16bit，色彩层次丰富，过渡自然无断层</w:t>
      </w:r>
    </w:p>
    <w:p w14:paraId="41547B56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刷新率：≥3840Hz，高清高刷，手机、相机拍摄无频闪、无水波纹，支持直播、会议录制场景使用</w:t>
      </w:r>
    </w:p>
    <w:p w14:paraId="6715B151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色温：5500K-7500K可调，可根据使用场景自定义画面色温</w:t>
      </w:r>
    </w:p>
    <w:p w14:paraId="1EB81EE7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平整度：整屏模组拼接平整度误差≤0.1mm，无凹凸、无明显拼接痕迹</w:t>
      </w:r>
    </w:p>
    <w:p w14:paraId="57F1EAE7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失控点：≤1/10000，无连片坏点、无常亮暗点</w:t>
      </w:r>
    </w:p>
    <w:p w14:paraId="0CAC4ABB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防护等级：正面IP40、背面IP20，防尘防潮，适配室内密闭使用环境</w:t>
      </w:r>
    </w:p>
    <w:p w14:paraId="193CDDCC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使用寿命：≥100000小时，支持7×24小时常态化稳定运行</w:t>
      </w:r>
    </w:p>
    <w:p w14:paraId="20199C0C">
      <w:pPr>
        <w:pStyle w:val="11"/>
        <w:widowControl/>
        <w:numPr>
          <w:ilvl w:val="0"/>
          <w:numId w:val="3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工作环境：温度-10℃～60℃，湿度10%-90%无凝露，适配室内办公环境</w:t>
      </w:r>
    </w:p>
    <w:p w14:paraId="7D144228">
      <w:pPr>
        <w:pStyle w:val="2"/>
        <w:widowControl/>
        <w:numPr>
          <w:ilvl w:val="0"/>
          <w:numId w:val="1"/>
        </w:numPr>
        <w:tabs>
          <w:tab w:val="left" w:pos="1203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配套系统设备要求（全套配齐）</w:t>
      </w:r>
    </w:p>
    <w:p w14:paraId="07486C67">
      <w:pPr>
        <w:pStyle w:val="3"/>
        <w:widowControl/>
        <w:numPr>
          <w:ilvl w:val="0"/>
          <w:numId w:val="4"/>
        </w:numPr>
        <w:tabs>
          <w:tab w:val="left" w:pos="1264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LED视频控制系统</w:t>
      </w:r>
    </w:p>
    <w:p w14:paraId="6D9344A3">
      <w:pPr>
        <w:pStyle w:val="11"/>
        <w:widowControl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配置专业LED同步发送卡、接收卡，支持高清信号输入，支持电脑、U盘、多媒体终端投屏，支持画面全屏、分屏、切换、漫游播放，支持视频、图片、文字、滚动字幕、日历、时间等多功能播放。</w:t>
      </w:r>
    </w:p>
    <w:p w14:paraId="4D87A5F2">
      <w:pPr>
        <w:pStyle w:val="3"/>
        <w:widowControl/>
        <w:numPr>
          <w:ilvl w:val="0"/>
          <w:numId w:val="4"/>
        </w:numPr>
        <w:tabs>
          <w:tab w:val="left" w:pos="1264"/>
        </w:tabs>
        <w:topLinePunct w:val="0"/>
        <w:ind w:left="0" w:leftChars="0" w:firstLine="482" w:firstLineChars="200"/>
        <w:rPr>
          <w:rFonts w:hint="eastAsia" w:ascii="宋体" w:hAnsi="宋体" w:eastAsia="宋体" w:cs="宋体"/>
          <w:b/>
          <w:bdr w:val="none" w:sz="0" w:space="0"/>
        </w:rPr>
      </w:pPr>
      <w:r>
        <w:t>供电及散热系统</w:t>
      </w:r>
    </w:p>
    <w:p w14:paraId="1BBB6E9C">
      <w:pPr>
        <w:pStyle w:val="11"/>
        <w:widowControl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配备专用稳压开关电源，供电稳定、低功耗、低发热；屏体自带静音散热系统，无噪音、散热均匀，避免高温死机、花屏，具备过压、过流、短路、过热自动保护功能。</w:t>
      </w:r>
    </w:p>
    <w:p w14:paraId="7E0E65B8">
      <w:pPr>
        <w:pStyle w:val="3"/>
        <w:widowControl/>
        <w:numPr>
          <w:ilvl w:val="0"/>
          <w:numId w:val="4"/>
        </w:numPr>
        <w:tabs>
          <w:tab w:val="left" w:pos="1264"/>
        </w:tabs>
        <w:topLinePunct w:val="0"/>
        <w:ind w:left="0" w:leftChars="0" w:firstLine="482" w:firstLineChars="200"/>
        <w:rPr>
          <w:rFonts w:hint="eastAsia" w:ascii="宋体" w:hAnsi="宋体" w:eastAsia="宋体" w:cs="宋体"/>
          <w:b/>
          <w:bdr w:val="none" w:sz="0" w:space="0"/>
        </w:rPr>
      </w:pPr>
      <w:r>
        <w:t>结构支架及辅材</w:t>
      </w:r>
    </w:p>
    <w:p w14:paraId="6EFE3069">
      <w:pPr>
        <w:pStyle w:val="11"/>
        <w:widowControl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定制专用镀锌钢壁挂/内嵌支架（根据现场墙面适配），结构稳固、承重达标、防锈防腐；配套专用线材、排线、电源线、信号线，全套国标线材，布线规整隐蔽，无外露杂乱线路。</w:t>
      </w:r>
    </w:p>
    <w:p w14:paraId="0EC6DCE7">
      <w:pPr>
        <w:pStyle w:val="3"/>
        <w:widowControl/>
        <w:numPr>
          <w:ilvl w:val="0"/>
          <w:numId w:val="4"/>
        </w:numPr>
        <w:tabs>
          <w:tab w:val="left" w:pos="1264"/>
        </w:tabs>
        <w:topLinePunct w:val="0"/>
        <w:ind w:left="0" w:leftChars="0" w:firstLine="482" w:firstLineChars="200"/>
        <w:rPr>
          <w:rFonts w:hint="eastAsia" w:ascii="宋体" w:hAnsi="宋体" w:eastAsia="宋体" w:cs="宋体"/>
          <w:b/>
          <w:bdr w:val="none" w:sz="0" w:space="0"/>
        </w:rPr>
      </w:pPr>
      <w:r>
        <w:t>播放控制软件</w:t>
      </w:r>
    </w:p>
    <w:p w14:paraId="38EB7A2A">
      <w:pPr>
        <w:pStyle w:val="11"/>
        <w:widowControl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配套正版专业LED播放控制软件，操作简单、功能齐全，支持定时开关机、节目编辑、素材预览、分组播放、亮度调节、故障自检，兼容Windows系统，免费终身升级。</w:t>
      </w:r>
    </w:p>
    <w:p w14:paraId="01431602">
      <w:pPr>
        <w:pStyle w:val="2"/>
        <w:widowControl/>
        <w:numPr>
          <w:ilvl w:val="0"/>
          <w:numId w:val="1"/>
        </w:numPr>
        <w:tabs>
          <w:tab w:val="left" w:pos="1203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施工及安装要求</w:t>
      </w:r>
    </w:p>
    <w:p w14:paraId="4AF820A9">
      <w:pPr>
        <w:pStyle w:val="11"/>
        <w:widowControl/>
        <w:numPr>
          <w:ilvl w:val="0"/>
          <w:numId w:val="5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投标人负责现场勘测、尺寸复核、方案设计、设备供货、运输、装卸、安装、布线、调试、清洁、验收全过程工作。</w:t>
      </w:r>
    </w:p>
    <w:p w14:paraId="7E652DA0">
      <w:pPr>
        <w:pStyle w:val="11"/>
        <w:widowControl/>
        <w:numPr>
          <w:ilvl w:val="0"/>
          <w:numId w:val="5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安装工艺规范，屏幕整体平整、垂直、牢固，拼接缝隙均匀一致，无松动、无变形。</w:t>
      </w:r>
    </w:p>
    <w:p w14:paraId="095D3DA3">
      <w:pPr>
        <w:pStyle w:val="11"/>
        <w:widowControl/>
        <w:numPr>
          <w:ilvl w:val="0"/>
          <w:numId w:val="5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所有线路隐蔽铺设，走线整齐、标识清晰，符合电气安全规范，杜绝安全隐患。</w:t>
      </w:r>
    </w:p>
    <w:p w14:paraId="32124EE3">
      <w:pPr>
        <w:pStyle w:val="11"/>
        <w:widowControl/>
        <w:numPr>
          <w:ilvl w:val="0"/>
          <w:numId w:val="5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项目完工后保证整屏无坏点、无花屏、无闪烁、无色彩不均，所有功能正常运行。</w:t>
      </w:r>
    </w:p>
    <w:p w14:paraId="722EB9A4">
      <w:pPr>
        <w:pStyle w:val="2"/>
        <w:widowControl/>
        <w:numPr>
          <w:ilvl w:val="0"/>
          <w:numId w:val="1"/>
        </w:numPr>
        <w:tabs>
          <w:tab w:val="left" w:pos="1203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服务及售后要求</w:t>
      </w:r>
    </w:p>
    <w:p w14:paraId="32CBD20B">
      <w:pPr>
        <w:pStyle w:val="11"/>
        <w:widowControl/>
        <w:numPr>
          <w:ilvl w:val="0"/>
          <w:numId w:val="6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质保期：整机</w:t>
      </w:r>
      <w:r>
        <w:rPr>
          <w:rStyle w:val="16"/>
          <w:rFonts w:ascii="Times New Roman" w:hAnsi="Times New Roman" w:eastAsia="宋体" w:cs="Times New Roman"/>
          <w:sz w:val="24"/>
        </w:rPr>
        <w:t>免费质保</w:t>
      </w:r>
      <w:r>
        <w:rPr>
          <w:rStyle w:val="16"/>
          <w:rFonts w:hint="eastAsia" w:cs="Times New Roman"/>
          <w:sz w:val="24"/>
          <w:lang w:val="en-US" w:eastAsia="zh-CN"/>
        </w:rPr>
        <w:t>2</w:t>
      </w:r>
      <w:r>
        <w:rPr>
          <w:rStyle w:val="16"/>
          <w:rFonts w:ascii="Times New Roman" w:hAnsi="Times New Roman" w:eastAsia="宋体" w:cs="Times New Roman"/>
          <w:sz w:val="24"/>
        </w:rPr>
        <w:t>年及以上</w:t>
      </w:r>
      <w:r>
        <w:rPr>
          <w:rFonts w:ascii="Times New Roman" w:hAnsi="Times New Roman" w:eastAsia="宋体" w:cs="Times New Roman"/>
          <w:sz w:val="24"/>
        </w:rPr>
        <w:t>，核心控制系统、灯体、电源终身维护。</w:t>
      </w:r>
    </w:p>
    <w:p w14:paraId="1FA564BC">
      <w:pPr>
        <w:pStyle w:val="11"/>
        <w:widowControl/>
        <w:numPr>
          <w:ilvl w:val="0"/>
          <w:numId w:val="6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售后响应：本地售后，故障报修2小时内响应，24小时内到场处理，快速排查修复故障。</w:t>
      </w:r>
    </w:p>
    <w:p w14:paraId="4C501AB1">
      <w:pPr>
        <w:pStyle w:val="11"/>
        <w:widowControl/>
        <w:numPr>
          <w:ilvl w:val="0"/>
          <w:numId w:val="6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免费提供设备安装调试、操作培训，教会使用方日常操作、素材制作、简单故障排查。</w:t>
      </w:r>
    </w:p>
    <w:p w14:paraId="5317BF3B">
      <w:pPr>
        <w:pStyle w:val="11"/>
        <w:widowControl/>
        <w:numPr>
          <w:ilvl w:val="0"/>
          <w:numId w:val="6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质保期内免费维修、免费更换损坏配件，无任何隐形费用。</w:t>
      </w:r>
    </w:p>
    <w:p w14:paraId="0EA97D10">
      <w:pPr>
        <w:pStyle w:val="11"/>
        <w:widowControl/>
        <w:numPr>
          <w:ilvl w:val="0"/>
          <w:numId w:val="6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终身提供成本价维修、技术支持、软件升级服务。</w:t>
      </w:r>
    </w:p>
    <w:p w14:paraId="6D6B0E59">
      <w:pPr>
        <w:pStyle w:val="2"/>
        <w:widowControl/>
        <w:numPr>
          <w:ilvl w:val="0"/>
          <w:numId w:val="1"/>
        </w:numPr>
        <w:tabs>
          <w:tab w:val="left" w:pos="1203"/>
        </w:tabs>
        <w:topLinePunct w:val="0"/>
        <w:ind w:left="0" w:leftChars="0" w:firstLine="482" w:firstLineChars="200"/>
        <w:rPr>
          <w:b/>
          <w:bdr w:val="none" w:sz="0" w:space="0"/>
        </w:rPr>
      </w:pPr>
      <w:r>
        <w:t>验收标准</w:t>
      </w:r>
    </w:p>
    <w:p w14:paraId="226EFAEA">
      <w:pPr>
        <w:pStyle w:val="11"/>
        <w:widowControl/>
        <w:numPr>
          <w:ilvl w:val="0"/>
          <w:numId w:val="7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整体尺寸符合4.8m×2.08m设计要求，安装牢固、外观整洁、工艺达标；</w:t>
      </w:r>
    </w:p>
    <w:p w14:paraId="1D881766">
      <w:pPr>
        <w:pStyle w:val="11"/>
        <w:widowControl/>
        <w:numPr>
          <w:ilvl w:val="0"/>
          <w:numId w:val="7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所有技术参数满足本采购需求标准，画面高清、色彩均匀、运行稳定；</w:t>
      </w:r>
    </w:p>
    <w:p w14:paraId="1DDB6A3E">
      <w:pPr>
        <w:pStyle w:val="11"/>
        <w:widowControl/>
        <w:numPr>
          <w:ilvl w:val="0"/>
          <w:numId w:val="7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所有配套设备齐全、功能正常，软件运行流畅；</w:t>
      </w:r>
    </w:p>
    <w:p w14:paraId="6C4DBB14">
      <w:pPr>
        <w:pStyle w:val="11"/>
        <w:widowControl/>
        <w:numPr>
          <w:ilvl w:val="0"/>
          <w:numId w:val="7"/>
        </w:numPr>
        <w:tabs>
          <w:tab w:val="left" w:pos="840"/>
        </w:tabs>
        <w:topLinePunct w:val="0"/>
        <w:ind w:left="0" w:leftChars="0" w:firstLine="480" w:firstLineChars="200"/>
        <w:rPr>
          <w:rFonts w:hint="eastAsia" w:ascii="宋体" w:hAnsi="宋体" w:eastAsia="宋体" w:cs="宋体"/>
          <w:b w:val="0"/>
          <w:sz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</w:rPr>
        <w:t>资料齐全（设备说明书、合格证、质保承诺书、检测报告等），培训到位，一次性验收合格。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E6EF8A"/>
    <w:multiLevelType w:val="singleLevel"/>
    <w:tmpl w:val="8BE6EF8A"/>
    <w:lvl w:ilvl="0" w:tentative="0">
      <w:start w:val="1"/>
      <w:numFmt w:val="decimal"/>
      <w:suff w:val="nothing"/>
      <w:lvlText w:val="%1、"/>
      <w:lvlJc w:val="left"/>
      <w:pPr>
        <w:ind w:left="0" w:firstLine="480"/>
      </w:pPr>
      <w:rPr>
        <w:rFonts w:hint="default"/>
      </w:rPr>
    </w:lvl>
  </w:abstractNum>
  <w:abstractNum w:abstractNumId="1">
    <w:nsid w:val="EF259969"/>
    <w:multiLevelType w:val="singleLevel"/>
    <w:tmpl w:val="EF259969"/>
    <w:lvl w:ilvl="0" w:tentative="0">
      <w:start w:val="1"/>
      <w:numFmt w:val="decimal"/>
      <w:suff w:val="nothing"/>
      <w:lvlText w:val="%1、"/>
      <w:lvlJc w:val="left"/>
      <w:pPr>
        <w:ind w:left="0" w:firstLine="480"/>
      </w:pPr>
      <w:rPr>
        <w:rFonts w:hint="default"/>
      </w:rPr>
    </w:lvl>
  </w:abstractNum>
  <w:abstractNum w:abstractNumId="2">
    <w:nsid w:val="06F39AD0"/>
    <w:multiLevelType w:val="singleLevel"/>
    <w:tmpl w:val="06F39AD0"/>
    <w:lvl w:ilvl="0" w:tentative="0">
      <w:start w:val="1"/>
      <w:numFmt w:val="decimal"/>
      <w:suff w:val="nothing"/>
      <w:lvlText w:val="%1、"/>
      <w:lvlJc w:val="left"/>
      <w:pPr>
        <w:ind w:left="0" w:firstLine="480"/>
      </w:pPr>
      <w:rPr>
        <w:rFonts w:hint="default"/>
      </w:rPr>
    </w:lvl>
  </w:abstractNum>
  <w:abstractNum w:abstractNumId="3">
    <w:nsid w:val="129BFA86"/>
    <w:multiLevelType w:val="singleLevel"/>
    <w:tmpl w:val="129BFA86"/>
    <w:lvl w:ilvl="0" w:tentative="0">
      <w:start w:val="1"/>
      <w:numFmt w:val="decimal"/>
      <w:suff w:val="nothing"/>
      <w:lvlText w:val="%1、"/>
      <w:lvlJc w:val="left"/>
      <w:pPr>
        <w:ind w:left="0" w:firstLine="480"/>
      </w:pPr>
      <w:rPr>
        <w:rFonts w:hint="default"/>
      </w:rPr>
    </w:lvl>
  </w:abstractNum>
  <w:abstractNum w:abstractNumId="4">
    <w:nsid w:val="494137D6"/>
    <w:multiLevelType w:val="singleLevel"/>
    <w:tmpl w:val="494137D6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5">
    <w:nsid w:val="50D91183"/>
    <w:multiLevelType w:val="singleLevel"/>
    <w:tmpl w:val="50D91183"/>
    <w:lvl w:ilvl="0" w:tentative="0">
      <w:start w:val="1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6">
    <w:nsid w:val="57BEC250"/>
    <w:multiLevelType w:val="singleLevel"/>
    <w:tmpl w:val="57BEC250"/>
    <w:lvl w:ilvl="0" w:tentative="0">
      <w:start w:val="1"/>
      <w:numFmt w:val="decimal"/>
      <w:suff w:val="nothing"/>
      <w:lvlText w:val="%1、"/>
      <w:lvlJc w:val="left"/>
      <w:pPr>
        <w:ind w:left="0" w:firstLine="48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A07F9D"/>
    <w:rsid w:val="6FA0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 w:val="0"/>
      <w:keepLines w:val="0"/>
      <w:widowControl w:val="0"/>
      <w:spacing w:before="240" w:beforeLines="0" w:after="120" w:line="360" w:lineRule="auto"/>
      <w:jc w:val="left"/>
      <w:outlineLvl w:val="0"/>
    </w:pPr>
    <w:rPr>
      <w:rFonts w:ascii="宋体" w:hAnsi="宋体" w:eastAsia="宋体" w:cs="宋体"/>
      <w:b/>
      <w:bCs/>
      <w:kern w:val="44"/>
      <w:sz w:val="24"/>
      <w:szCs w:val="30"/>
    </w:rPr>
  </w:style>
  <w:style w:type="paragraph" w:styleId="3">
    <w:name w:val="heading 2"/>
    <w:next w:val="1"/>
    <w:unhideWhenUsed/>
    <w:qFormat/>
    <w:uiPriority w:val="0"/>
    <w:pPr>
      <w:keepNext w:val="0"/>
      <w:keepLines w:val="0"/>
      <w:widowControl w:val="0"/>
      <w:spacing w:beforeAutospacing="0" w:after="120" w:afterAutospacing="0" w:line="360" w:lineRule="auto"/>
      <w:jc w:val="left"/>
      <w:outlineLvl w:val="1"/>
    </w:pPr>
    <w:rPr>
      <w:rFonts w:ascii="Times New Roman" w:hAnsi="Times New Roman" w:eastAsia="宋体" w:cs="Times New Roman"/>
      <w:b/>
      <w:sz w:val="24"/>
    </w:rPr>
  </w:style>
  <w:style w:type="paragraph" w:styleId="4">
    <w:name w:val="heading 3"/>
    <w:next w:val="1"/>
    <w:semiHidden/>
    <w:unhideWhenUsed/>
    <w:qFormat/>
    <w:uiPriority w:val="0"/>
    <w:pPr>
      <w:keepNext w:val="0"/>
      <w:keepLines w:val="0"/>
      <w:widowControl w:val="0"/>
      <w:spacing w:beforeAutospacing="0" w:after="120" w:afterAutospacing="0" w:line="360" w:lineRule="auto"/>
      <w:jc w:val="left"/>
      <w:outlineLvl w:val="2"/>
    </w:pPr>
    <w:rPr>
      <w:rFonts w:ascii="Times New Roman" w:hAnsi="Times New Roman" w:eastAsia="宋体" w:cs="Times New Roman"/>
      <w:b/>
      <w:sz w:val="24"/>
    </w:rPr>
  </w:style>
  <w:style w:type="paragraph" w:styleId="5">
    <w:name w:val="heading 4"/>
    <w:next w:val="1"/>
    <w:semiHidden/>
    <w:unhideWhenUsed/>
    <w:qFormat/>
    <w:uiPriority w:val="0"/>
    <w:pPr>
      <w:keepNext w:val="0"/>
      <w:keepLines w:val="0"/>
      <w:widowControl w:val="0"/>
      <w:spacing w:beforeAutospacing="0" w:after="120" w:afterAutospacing="0" w:line="360" w:lineRule="auto"/>
      <w:outlineLvl w:val="3"/>
    </w:pPr>
    <w:rPr>
      <w:rFonts w:ascii="Times New Roman" w:hAnsi="Times New Roman" w:eastAsia="宋体" w:cs="Times New Roman"/>
      <w:sz w:val="24"/>
    </w:rPr>
  </w:style>
  <w:style w:type="paragraph" w:styleId="6">
    <w:name w:val="heading 5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440" w:lineRule="exact"/>
      <w:jc w:val="left"/>
      <w:outlineLvl w:val="4"/>
    </w:pPr>
    <w:rPr>
      <w:rFonts w:ascii="Times New Roman" w:hAnsi="Times New Roman" w:eastAsia="宋体" w:cs="Times New Roman"/>
      <w:sz w:val="24"/>
    </w:rPr>
  </w:style>
  <w:style w:type="paragraph" w:styleId="7">
    <w:name w:val="heading 6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5"/>
    </w:pPr>
    <w:rPr>
      <w:rFonts w:ascii="Times New Roman" w:hAnsi="Times New Roman" w:eastAsia="宋体" w:cs="Times New Roman"/>
      <w:sz w:val="24"/>
    </w:rPr>
  </w:style>
  <w:style w:type="paragraph" w:styleId="8">
    <w:name w:val="heading 7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6"/>
    </w:pPr>
    <w:rPr>
      <w:rFonts w:ascii="Times New Roman" w:hAnsi="Times New Roman" w:eastAsia="宋体" w:cs="Times New Roman"/>
      <w:sz w:val="24"/>
    </w:rPr>
  </w:style>
  <w:style w:type="paragraph" w:styleId="9">
    <w:name w:val="heading 8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7"/>
    </w:pPr>
    <w:rPr>
      <w:rFonts w:ascii="Times New Roman" w:hAnsi="Times New Roman" w:eastAsia="宋体" w:cs="Times New Roman"/>
      <w:sz w:val="24"/>
    </w:rPr>
  </w:style>
  <w:style w:type="paragraph" w:styleId="10">
    <w:name w:val="heading 9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8"/>
    </w:pPr>
    <w:rPr>
      <w:rFonts w:ascii="Times New Roman" w:hAnsi="Times New Roman" w:eastAsia="宋体" w:cs="Times New Roman"/>
      <w:sz w:val="24"/>
    </w:rPr>
  </w:style>
  <w:style w:type="character" w:default="1" w:styleId="15">
    <w:name w:val="Default Paragraph Font"/>
    <w:semiHidden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spacing w:after="120" w:afterAutospacing="0" w:line="360" w:lineRule="auto"/>
      <w:ind w:firstLine="420" w:firstLineChars="200"/>
    </w:pPr>
    <w:rPr>
      <w:rFonts w:ascii="Times New Roman" w:hAnsi="Times New Roman" w:eastAsia="宋体" w:cs="Times New Roman"/>
      <w:sz w:val="24"/>
    </w:rPr>
  </w:style>
  <w:style w:type="paragraph" w:styleId="12">
    <w:name w:val="Subtitle"/>
    <w:qFormat/>
    <w:uiPriority w:val="0"/>
    <w:pPr>
      <w:widowControl w:val="0"/>
      <w:spacing w:beforeLines="0" w:beforeAutospacing="0" w:after="240" w:afterLines="0" w:afterAutospacing="0" w:line="240" w:lineRule="auto"/>
      <w:jc w:val="center"/>
      <w:outlineLvl w:val="9"/>
    </w:pPr>
    <w:rPr>
      <w:rFonts w:ascii="Times New Roman" w:hAnsi="Times New Roman" w:eastAsia="宋体" w:cs="Times New Roman"/>
      <w:kern w:val="28"/>
      <w:sz w:val="21"/>
    </w:rPr>
  </w:style>
  <w:style w:type="paragraph" w:styleId="13">
    <w:name w:val="Title"/>
    <w:qFormat/>
    <w:uiPriority w:val="0"/>
    <w:pPr>
      <w:spacing w:before="240" w:beforeAutospacing="0" w:after="240" w:afterAutospacing="0" w:line="240" w:lineRule="auto"/>
      <w:jc w:val="center"/>
      <w:outlineLvl w:val="9"/>
    </w:pPr>
    <w:rPr>
      <w:rFonts w:ascii="Times New Roman" w:hAnsi="Times New Roman" w:eastAsia="宋体" w:cs="Times New Roman"/>
      <w:b/>
      <w:sz w:val="32"/>
    </w:rPr>
  </w:style>
  <w:style w:type="character" w:styleId="16">
    <w:name w:val="Strong"/>
    <w:basedOn w:val="1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2026-06-05T08:05:00Z</dcterms:created>
  <dc:creator>南山</dc:creator>
  <cp:lastModifiedBy>南山</cp:lastModifiedBy>
  <dcterms:modified xsi:type="dcterms:W3CDTF">2026-06-05T08:14:18Z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1345281910B4475D92A8563D8E0989C2_11</vt:lpwstr>
  </property>
  <property fmtid="{D5CDD505-2E9C-101B-9397-08002B2CF9AE}" pid="4" name="KSOTemplateDocerSaveRecord">
    <vt:lpwstr>eyJoZGlkIjoiMzUwMzM1MmJlODQ2MDUyMzA3OTI5Yzk1ZWVkM2I4NjAiLCJ1c2VySWQiOiIxODQ4NjMxMTc4In0=</vt:lpwstr>
  </property>
</Properties>
</file>