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仿宋" w:hAnsi="仿宋" w:eastAsia="仿宋" w:cs="宋体"/>
          <w:sz w:val="28"/>
        </w:rPr>
      </w:pPr>
      <w:bookmarkStart w:id="0" w:name="_Toc13285"/>
      <w:bookmarkStart w:id="1" w:name="_Toc22926"/>
      <w:r>
        <w:rPr>
          <w:rFonts w:hint="eastAsia" w:ascii="仿宋" w:hAnsi="仿宋" w:eastAsia="仿宋" w:cs="宋体"/>
          <w:sz w:val="28"/>
        </w:rPr>
        <w:t>投标文件格式</w:t>
      </w:r>
      <w:bookmarkEnd w:id="0"/>
      <w:bookmarkEnd w:id="1"/>
    </w:p>
    <w:p>
      <w:pPr>
        <w:jc w:val="center"/>
        <w:rPr>
          <w:rStyle w:val="13"/>
          <w:rFonts w:asciiTheme="minorEastAsia" w:hAnsiTheme="minorEastAsia" w:eastAsiaTheme="minorEastAsia" w:cstheme="minorEastAsia"/>
          <w:b/>
          <w:bCs/>
          <w:sz w:val="24"/>
          <w:szCs w:val="24"/>
        </w:rPr>
      </w:pPr>
    </w:p>
    <w:p>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pPr>
        <w:pStyle w:val="4"/>
        <w:jc w:val="center"/>
        <w:rPr>
          <w:rFonts w:eastAsiaTheme="minorEastAsia"/>
        </w:rPr>
      </w:pPr>
    </w:p>
    <w:p>
      <w:pPr>
        <w:spacing w:line="420" w:lineRule="exact"/>
        <w:rPr>
          <w:rStyle w:val="13"/>
          <w:rFonts w:hint="eastAsia" w:ascii="仿宋" w:hAnsi="仿宋" w:eastAsia="仿宋" w:cs="仿宋"/>
          <w:sz w:val="28"/>
          <w:szCs w:val="28"/>
        </w:rPr>
      </w:pPr>
    </w:p>
    <w:p>
      <w:pPr>
        <w:spacing w:line="460" w:lineRule="exact"/>
        <w:jc w:val="center"/>
        <w:rPr>
          <w:rFonts w:hint="eastAsia" w:ascii="仿宋" w:hAnsi="仿宋" w:eastAsia="仿宋" w:cs="仿宋"/>
          <w:b/>
          <w:color w:val="000000"/>
          <w:kern w:val="0"/>
          <w:sz w:val="28"/>
          <w:szCs w:val="28"/>
        </w:rPr>
      </w:pPr>
    </w:p>
    <w:p>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_Toc22926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_Toc22926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_Toc22580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1、法定代表人（单位负责人）身份证明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_Toc7700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附：法定代表人（单位负责人）身份证正反面复印件或扫描件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_Toc7700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_Toc6189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2、授权委托书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_Toc6189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_Toc21287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lang w:val="en-US" w:eastAsia="zh-CN"/>
            </w:rPr>
            <w:t>3.报价表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_Toc21287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_Toc16662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4.投标承诺函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_Toc16662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_Toc2725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5.无重大违法记录声明函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_Toc2725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_Toc25614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bCs/>
              <w:kern w:val="0"/>
              <w:sz w:val="28"/>
              <w:szCs w:val="28"/>
              <w:lang w:val="en-US"/>
            </w:rPr>
            <w:t>6.</w:t>
          </w:r>
          <w:r>
            <w:rPr>
              <w:rFonts w:hint="eastAsia" w:ascii="仿宋" w:hAnsi="仿宋" w:eastAsia="仿宋" w:cs="仿宋"/>
              <w:bCs/>
              <w:kern w:val="0"/>
              <w:sz w:val="28"/>
              <w:szCs w:val="28"/>
            </w:rPr>
            <w:t>供应商资格证明及评审所需材料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_Toc25614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_Toc9477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7.</w:t>
          </w:r>
          <w:r>
            <w:rPr>
              <w:rFonts w:hint="eastAsia" w:ascii="仿宋" w:hAnsi="仿宋" w:eastAsia="仿宋" w:cs="仿宋"/>
              <w:sz w:val="28"/>
              <w:szCs w:val="28"/>
            </w:rPr>
            <w:t>其他资料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_Toc9477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_Toc27708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8.</w:t>
          </w:r>
          <w:r>
            <w:rPr>
              <w:rFonts w:hint="eastAsia" w:ascii="仿宋" w:hAnsi="仿宋" w:eastAsia="仿宋" w:cs="仿宋"/>
              <w:sz w:val="28"/>
              <w:szCs w:val="28"/>
            </w:rPr>
            <w:t>采购需求中要求提供的方案及承诺等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_Toc27708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fldChar w:fldCharType="end"/>
          </w:r>
        </w:p>
      </w:sdtContent>
    </w:sdt>
    <w:p>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ascii="仿宋" w:hAnsi="仿宋" w:eastAsia="仿宋" w:cs="仿宋"/>
          <w:b/>
          <w:color w:val="000000"/>
          <w:sz w:val="28"/>
          <w:szCs w:val="28"/>
        </w:rPr>
      </w:pPr>
      <w:bookmarkStart w:id="2" w:name="_Toc22580"/>
      <w:r>
        <w:rPr>
          <w:rFonts w:hint="eastAsia" w:ascii="仿宋" w:hAnsi="仿宋" w:eastAsia="仿宋" w:cs="仿宋"/>
          <w:b/>
          <w:color w:val="000000"/>
          <w:kern w:val="0"/>
          <w:sz w:val="28"/>
          <w:szCs w:val="28"/>
        </w:rPr>
        <w:t>1、法定代表人（单位负责人）身份证明</w:t>
      </w:r>
      <w:bookmarkEnd w:id="2"/>
    </w:p>
    <w:p>
      <w:pPr>
        <w:spacing w:line="440" w:lineRule="exact"/>
        <w:ind w:firstLine="560" w:firstLineChars="200"/>
        <w:rPr>
          <w:rFonts w:hint="eastAsia" w:ascii="仿宋" w:hAnsi="仿宋" w:eastAsia="仿宋" w:cs="仿宋"/>
          <w:color w:val="000000"/>
          <w:sz w:val="28"/>
          <w:szCs w:val="28"/>
        </w:rPr>
      </w:pP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pPr>
        <w:spacing w:line="440" w:lineRule="exact"/>
        <w:ind w:firstLine="560" w:firstLineChars="200"/>
        <w:outlineLvl w:val="0"/>
        <w:rPr>
          <w:rFonts w:ascii="仿宋" w:hAnsi="仿宋" w:eastAsia="仿宋" w:cs="仿宋"/>
          <w:color w:val="000000"/>
          <w:sz w:val="28"/>
          <w:szCs w:val="28"/>
        </w:rPr>
      </w:pPr>
      <w:bookmarkStart w:id="3" w:name="_Toc7700"/>
      <w:r>
        <w:rPr>
          <w:rFonts w:hint="eastAsia" w:ascii="仿宋" w:hAnsi="仿宋" w:eastAsia="仿宋" w:cs="仿宋"/>
          <w:color w:val="000000"/>
          <w:sz w:val="28"/>
          <w:szCs w:val="28"/>
        </w:rPr>
        <w:t>附：法定代表人（单位负责人）身份证正反面复印件或扫描件</w:t>
      </w:r>
      <w:bookmarkEnd w:id="3"/>
    </w:p>
    <w:p>
      <w:pPr>
        <w:spacing w:line="420" w:lineRule="exact"/>
        <w:ind w:firstLine="560" w:firstLineChars="200"/>
        <w:rPr>
          <w:rStyle w:val="13"/>
          <w:rFonts w:hint="eastAsia" w:ascii="仿宋" w:hAnsi="仿宋" w:eastAsia="仿宋" w:cs="仿宋"/>
          <w:sz w:val="28"/>
          <w:szCs w:val="28"/>
        </w:rPr>
      </w:pPr>
    </w:p>
    <w:tbl>
      <w:tblPr>
        <w:tblStyle w:val="11"/>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pPr>
        <w:spacing w:line="420" w:lineRule="exact"/>
        <w:ind w:firstLine="560" w:firstLineChars="200"/>
        <w:rPr>
          <w:rStyle w:val="13"/>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hint="eastAsia" w:ascii="仿宋" w:hAnsi="仿宋" w:eastAsia="仿宋" w:cs="仿宋"/>
          <w:b/>
          <w:color w:val="000000"/>
          <w:kern w:val="0"/>
          <w:sz w:val="28"/>
          <w:szCs w:val="28"/>
        </w:rPr>
      </w:pPr>
      <w:bookmarkStart w:id="4" w:name="_Toc6189"/>
      <w:r>
        <w:rPr>
          <w:rFonts w:hint="eastAsia" w:ascii="仿宋" w:hAnsi="仿宋" w:eastAsia="仿宋" w:cs="仿宋"/>
          <w:b/>
          <w:color w:val="000000"/>
          <w:kern w:val="0"/>
          <w:sz w:val="28"/>
          <w:szCs w:val="28"/>
        </w:rPr>
        <w:t>2、授权委托书</w:t>
      </w:r>
      <w:bookmarkEnd w:id="4"/>
    </w:p>
    <w:p>
      <w:pPr>
        <w:spacing w:line="460" w:lineRule="exact"/>
        <w:jc w:val="center"/>
        <w:rPr>
          <w:rFonts w:hint="eastAsia" w:ascii="仿宋" w:hAnsi="仿宋" w:eastAsia="仿宋" w:cs="仿宋"/>
          <w:color w:val="000000"/>
          <w:kern w:val="0"/>
          <w:sz w:val="28"/>
          <w:szCs w:val="28"/>
        </w:rPr>
      </w:pP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p>
    <w:p>
      <w:pPr>
        <w:spacing w:line="360" w:lineRule="auto"/>
        <w:ind w:firstLine="480" w:firstLineChars="200"/>
        <w:rPr>
          <w:rFonts w:hint="eastAsia" w:ascii="仿宋" w:hAnsi="仿宋" w:eastAsia="仿宋"/>
          <w:sz w:val="24"/>
          <w:szCs w:val="24"/>
          <w:u w:val="single"/>
        </w:rPr>
      </w:pPr>
    </w:p>
    <w:tbl>
      <w:tblPr>
        <w:tblStyle w:val="11"/>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pPr>
              <w:spacing w:line="360" w:lineRule="auto"/>
              <w:ind w:firstLine="480" w:firstLineChars="200"/>
              <w:jc w:val="center"/>
              <w:rPr>
                <w:rFonts w:hint="eastAsia" w:ascii="仿宋" w:hAnsi="仿宋" w:eastAsia="仿宋"/>
                <w:sz w:val="24"/>
                <w:szCs w:val="24"/>
              </w:rPr>
            </w:pPr>
          </w:p>
        </w:tc>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77" w:hRule="atLeast"/>
        </w:trPr>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pPr>
              <w:spacing w:line="360" w:lineRule="auto"/>
              <w:ind w:firstLine="480" w:firstLineChars="200"/>
              <w:jc w:val="center"/>
              <w:rPr>
                <w:rFonts w:hint="eastAsia" w:ascii="仿宋" w:hAnsi="仿宋" w:eastAsia="仿宋"/>
                <w:sz w:val="24"/>
                <w:szCs w:val="24"/>
              </w:rPr>
            </w:pPr>
          </w:p>
        </w:tc>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pPr>
        <w:spacing w:line="360" w:lineRule="auto"/>
        <w:ind w:firstLine="480" w:firstLineChars="200"/>
        <w:rPr>
          <w:rFonts w:hint="eastAsia" w:ascii="仿宋" w:hAnsi="仿宋" w:eastAsia="仿宋"/>
          <w:sz w:val="24"/>
          <w:szCs w:val="24"/>
        </w:rPr>
      </w:pPr>
    </w:p>
    <w:p>
      <w:pPr>
        <w:spacing w:line="420" w:lineRule="exact"/>
        <w:ind w:firstLine="560" w:firstLineChars="200"/>
        <w:rPr>
          <w:rStyle w:val="13"/>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hint="eastAsia" w:ascii="仿宋" w:hAnsi="仿宋" w:eastAsia="仿宋" w:cs="仿宋"/>
          <w:b/>
          <w:color w:val="000000"/>
          <w:kern w:val="0"/>
          <w:sz w:val="28"/>
          <w:szCs w:val="28"/>
          <w:lang w:val="en-US" w:eastAsia="zh-CN"/>
        </w:rPr>
      </w:pPr>
      <w:bookmarkStart w:id="5" w:name="_Toc21287"/>
      <w:bookmarkStart w:id="6" w:name="_Toc5945"/>
      <w:bookmarkStart w:id="7" w:name="heading_4"/>
      <w:r>
        <w:rPr>
          <w:rFonts w:hint="eastAsia" w:ascii="仿宋" w:hAnsi="仿宋" w:eastAsia="仿宋" w:cs="仿宋"/>
          <w:b/>
          <w:color w:val="000000"/>
          <w:kern w:val="0"/>
          <w:sz w:val="28"/>
          <w:szCs w:val="28"/>
          <w:lang w:val="en-US" w:eastAsia="zh-CN"/>
        </w:rPr>
        <w:t>3.报价表</w:t>
      </w:r>
      <w:bookmarkEnd w:id="5"/>
      <w:bookmarkEnd w:id="6"/>
      <w:bookmarkEnd w:id="7"/>
    </w:p>
    <w:tbl>
      <w:tblPr>
        <w:tblStyle w:val="11"/>
        <w:tblW w:w="5000" w:type="pct"/>
        <w:jc w:val="center"/>
        <w:tblLayout w:type="fixed"/>
        <w:tblCellMar>
          <w:top w:w="0" w:type="dxa"/>
          <w:left w:w="108" w:type="dxa"/>
          <w:bottom w:w="0" w:type="dxa"/>
          <w:right w:w="108" w:type="dxa"/>
        </w:tblCellMar>
      </w:tblPr>
      <w:tblGrid>
        <w:gridCol w:w="379"/>
        <w:gridCol w:w="511"/>
        <w:gridCol w:w="771"/>
        <w:gridCol w:w="746"/>
        <w:gridCol w:w="746"/>
        <w:gridCol w:w="401"/>
        <w:gridCol w:w="401"/>
        <w:gridCol w:w="741"/>
        <w:gridCol w:w="1001"/>
        <w:gridCol w:w="984"/>
        <w:gridCol w:w="691"/>
        <w:gridCol w:w="595"/>
        <w:gridCol w:w="635"/>
        <w:gridCol w:w="464"/>
      </w:tblGrid>
      <w:tr>
        <w:tblPrEx>
          <w:tblCellMar>
            <w:top w:w="0" w:type="dxa"/>
            <w:left w:w="108" w:type="dxa"/>
            <w:bottom w:w="0" w:type="dxa"/>
            <w:right w:w="108" w:type="dxa"/>
          </w:tblCellMar>
        </w:tblPrEx>
        <w:trPr>
          <w:trHeight w:val="543" w:hRule="atLeast"/>
          <w:jc w:val="center"/>
        </w:trPr>
        <w:tc>
          <w:tcPr>
            <w:tcW w:w="5000" w:type="pct"/>
            <w:gridSpan w:val="14"/>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default" w:ascii="黑体" w:hAnsi="黑体" w:eastAsia="黑体" w:cs="黑体"/>
                <w:b/>
                <w:bCs/>
                <w:sz w:val="22"/>
                <w:szCs w:val="22"/>
                <w:lang w:val="en-US" w:eastAsia="zh-CN"/>
              </w:rPr>
            </w:pPr>
            <w:bookmarkStart w:id="8" w:name="heading_5"/>
            <w:r>
              <w:rPr>
                <w:rFonts w:hint="eastAsia" w:ascii="黑体" w:hAnsi="黑体" w:eastAsia="黑体" w:cs="黑体"/>
                <w:b/>
                <w:bCs/>
                <w:kern w:val="0"/>
                <w:sz w:val="22"/>
                <w:szCs w:val="22"/>
                <w:lang w:bidi="ar"/>
              </w:rPr>
              <w:t>工程名称：</w:t>
            </w:r>
            <w:r>
              <w:rPr>
                <w:rFonts w:hint="eastAsia" w:ascii="黑体" w:hAnsi="黑体" w:eastAsia="黑体" w:cs="黑体"/>
                <w:b/>
                <w:bCs/>
                <w:kern w:val="0"/>
                <w:sz w:val="22"/>
                <w:szCs w:val="22"/>
                <w:lang w:eastAsia="zh-CN" w:bidi="ar"/>
              </w:rPr>
              <w:t>寿县建设工程检测材料生产中心工程项目</w:t>
            </w:r>
            <w:r>
              <w:rPr>
                <w:rFonts w:hint="eastAsia" w:ascii="黑体" w:hAnsi="黑体" w:eastAsia="黑体" w:cs="黑体"/>
                <w:b/>
                <w:bCs/>
                <w:kern w:val="0"/>
                <w:sz w:val="22"/>
                <w:szCs w:val="22"/>
                <w:lang w:eastAsia="zh-CN" w:bidi="ar"/>
              </w:rPr>
              <w:fldChar w:fldCharType="begin"/>
            </w:r>
            <w:r>
              <w:rPr>
                <w:rFonts w:hint="eastAsia" w:ascii="黑体" w:hAnsi="黑体" w:eastAsia="黑体" w:cs="黑体"/>
                <w:b/>
                <w:bCs/>
                <w:kern w:val="0"/>
                <w:sz w:val="22"/>
                <w:szCs w:val="22"/>
                <w:lang w:eastAsia="zh-CN" w:bidi="ar"/>
              </w:rPr>
              <w:instrText xml:space="preserve">ADDIN CNKISM.UserStyle</w:instrText>
            </w:r>
            <w:r>
              <w:rPr>
                <w:rFonts w:hint="eastAsia" w:ascii="黑体" w:hAnsi="黑体" w:eastAsia="黑体" w:cs="黑体"/>
                <w:b/>
                <w:bCs/>
                <w:kern w:val="0"/>
                <w:sz w:val="22"/>
                <w:szCs w:val="22"/>
                <w:lang w:eastAsia="zh-CN" w:bidi="ar"/>
              </w:rPr>
              <w:fldChar w:fldCharType="end"/>
            </w:r>
            <w:r>
              <w:rPr>
                <w:rFonts w:hint="eastAsia" w:ascii="黑体" w:hAnsi="黑体" w:eastAsia="黑体" w:cs="黑体"/>
                <w:b/>
                <w:bCs/>
                <w:kern w:val="0"/>
                <w:sz w:val="22"/>
                <w:szCs w:val="22"/>
                <w:lang w:eastAsia="zh-CN" w:bidi="ar"/>
              </w:rPr>
              <w:t>机械设备租赁</w:t>
            </w:r>
          </w:p>
        </w:tc>
      </w:tr>
      <w:tr>
        <w:tblPrEx>
          <w:tblCellMar>
            <w:top w:w="0" w:type="dxa"/>
            <w:left w:w="108" w:type="dxa"/>
            <w:bottom w:w="0" w:type="dxa"/>
            <w:right w:w="108" w:type="dxa"/>
          </w:tblCellMar>
        </w:tblPrEx>
        <w:trPr>
          <w:trHeight w:val="1233" w:hRule="atLeast"/>
          <w:jc w:val="center"/>
        </w:trPr>
        <w:tc>
          <w:tcPr>
            <w:tcW w:w="208" w:type="pct"/>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序号</w:t>
            </w:r>
          </w:p>
        </w:tc>
        <w:tc>
          <w:tcPr>
            <w:tcW w:w="281" w:type="pct"/>
            <w:vMerge w:val="restart"/>
            <w:tcBorders>
              <w:top w:val="single" w:color="000000" w:sz="4" w:space="0"/>
              <w:left w:val="single" w:color="000000" w:sz="4" w:space="0"/>
              <w:right w:val="single" w:color="000000" w:sz="4" w:space="0"/>
            </w:tcBorders>
            <w:noWrap/>
            <w:vAlign w:val="center"/>
          </w:tcPr>
          <w:p>
            <w:pPr>
              <w:widowControl/>
              <w:jc w:val="center"/>
              <w:textAlignment w:val="center"/>
              <w:rPr>
                <w:rFonts w:hint="eastAsia" w:ascii="黑体" w:hAnsi="黑体" w:eastAsia="黑体" w:cs="黑体"/>
                <w:b/>
                <w:bCs/>
                <w:kern w:val="0"/>
                <w:sz w:val="16"/>
                <w:szCs w:val="16"/>
                <w:lang w:val="en-US" w:eastAsia="zh-CN" w:bidi="ar"/>
              </w:rPr>
            </w:pPr>
            <w:r>
              <w:rPr>
                <w:rFonts w:hint="eastAsia" w:ascii="黑体" w:hAnsi="黑体" w:eastAsia="黑体" w:cs="黑体"/>
                <w:b/>
                <w:bCs/>
                <w:kern w:val="0"/>
                <w:sz w:val="16"/>
                <w:szCs w:val="16"/>
                <w:lang w:val="en-US" w:eastAsia="zh-CN" w:bidi="ar"/>
              </w:rPr>
              <w:t>名称</w:t>
            </w:r>
          </w:p>
        </w:tc>
        <w:tc>
          <w:tcPr>
            <w:tcW w:w="425" w:type="pct"/>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型号</w:t>
            </w:r>
          </w:p>
        </w:tc>
        <w:tc>
          <w:tcPr>
            <w:tcW w:w="411" w:type="pct"/>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工作半径（米）</w:t>
            </w:r>
          </w:p>
        </w:tc>
        <w:tc>
          <w:tcPr>
            <w:tcW w:w="411" w:type="pct"/>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黑体" w:hAnsi="黑体" w:eastAsia="黑体" w:cs="黑体"/>
                <w:b/>
                <w:bCs/>
                <w:sz w:val="16"/>
                <w:szCs w:val="16"/>
              </w:rPr>
            </w:pPr>
            <w:r>
              <w:rPr>
                <w:rStyle w:val="16"/>
                <w:rFonts w:hint="default" w:ascii="黑体" w:hAnsi="黑体" w:eastAsia="黑体" w:cs="黑体"/>
                <w:color w:val="auto"/>
                <w:sz w:val="16"/>
                <w:szCs w:val="16"/>
                <w:lang w:bidi="ar"/>
              </w:rPr>
              <w:t>建筑高度（米）</w:t>
            </w:r>
          </w:p>
        </w:tc>
        <w:tc>
          <w:tcPr>
            <w:tcW w:w="221" w:type="pct"/>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单位</w:t>
            </w:r>
          </w:p>
        </w:tc>
        <w:tc>
          <w:tcPr>
            <w:tcW w:w="221" w:type="pct"/>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租赁数量</w:t>
            </w:r>
          </w:p>
        </w:tc>
        <w:tc>
          <w:tcPr>
            <w:tcW w:w="408" w:type="pct"/>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黑体" w:hAnsi="黑体" w:eastAsia="黑体" w:cs="黑体"/>
                <w:b/>
                <w:bCs/>
                <w:sz w:val="16"/>
                <w:szCs w:val="16"/>
                <w:highlight w:val="none"/>
              </w:rPr>
            </w:pPr>
            <w:r>
              <w:rPr>
                <w:rFonts w:hint="eastAsia" w:ascii="黑体" w:hAnsi="黑体" w:eastAsia="黑体" w:cs="黑体"/>
                <w:b/>
                <w:bCs/>
                <w:kern w:val="0"/>
                <w:sz w:val="16"/>
                <w:szCs w:val="16"/>
                <w:highlight w:val="none"/>
                <w:lang w:bidi="ar"/>
              </w:rPr>
              <w:t>租赁暂定时间（月）</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黑体" w:hAnsi="黑体" w:eastAsia="黑体" w:cs="黑体"/>
                <w:b/>
                <w:bCs/>
                <w:sz w:val="16"/>
                <w:szCs w:val="16"/>
                <w:highlight w:val="none"/>
                <w:lang w:eastAsia="zh-CN"/>
              </w:rPr>
            </w:pPr>
            <w:r>
              <w:rPr>
                <w:rFonts w:hint="eastAsia" w:ascii="黑体" w:hAnsi="黑体" w:eastAsia="黑体" w:cs="黑体"/>
                <w:b/>
                <w:bCs/>
                <w:kern w:val="0"/>
                <w:sz w:val="16"/>
                <w:szCs w:val="16"/>
                <w:highlight w:val="none"/>
                <w:lang w:val="en-US" w:eastAsia="zh-CN" w:bidi="ar"/>
              </w:rPr>
              <w:t>含税</w:t>
            </w:r>
            <w:r>
              <w:rPr>
                <w:rFonts w:hint="eastAsia" w:ascii="黑体" w:hAnsi="黑体" w:eastAsia="黑体" w:cs="黑体"/>
                <w:b/>
                <w:bCs/>
                <w:kern w:val="0"/>
                <w:sz w:val="16"/>
                <w:szCs w:val="16"/>
                <w:highlight w:val="none"/>
                <w:lang w:bidi="ar"/>
              </w:rPr>
              <w:t>进出场及安拆费</w:t>
            </w:r>
            <w:r>
              <w:rPr>
                <w:rFonts w:hint="eastAsia" w:ascii="黑体" w:hAnsi="黑体" w:eastAsia="黑体" w:cs="黑体"/>
                <w:b/>
                <w:bCs/>
                <w:kern w:val="0"/>
                <w:sz w:val="16"/>
                <w:szCs w:val="16"/>
                <w:highlight w:val="none"/>
                <w:lang w:eastAsia="zh-CN" w:bidi="ar"/>
              </w:rPr>
              <w:t>（</w:t>
            </w:r>
            <w:r>
              <w:rPr>
                <w:rFonts w:hint="eastAsia" w:ascii="黑体" w:hAnsi="黑体" w:eastAsia="黑体" w:cs="黑体"/>
                <w:b/>
                <w:bCs/>
                <w:kern w:val="0"/>
                <w:sz w:val="16"/>
                <w:szCs w:val="16"/>
                <w:highlight w:val="none"/>
                <w:lang w:val="en-US" w:eastAsia="zh-CN" w:bidi="ar"/>
              </w:rPr>
              <w:t>税率13%</w:t>
            </w:r>
            <w:r>
              <w:rPr>
                <w:rFonts w:hint="eastAsia" w:ascii="黑体" w:hAnsi="黑体" w:eastAsia="黑体" w:cs="黑体"/>
                <w:b/>
                <w:bCs/>
                <w:kern w:val="0"/>
                <w:sz w:val="16"/>
                <w:szCs w:val="16"/>
                <w:highlight w:val="none"/>
                <w:lang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黑体" w:hAnsi="黑体" w:eastAsia="黑体" w:cs="黑体"/>
                <w:b/>
                <w:bCs/>
                <w:sz w:val="16"/>
                <w:szCs w:val="16"/>
                <w:highlight w:val="none"/>
                <w:lang w:eastAsia="zh-CN"/>
              </w:rPr>
            </w:pPr>
            <w:r>
              <w:rPr>
                <w:rFonts w:hint="eastAsia" w:ascii="黑体" w:hAnsi="黑体" w:eastAsia="黑体" w:cs="黑体"/>
                <w:b/>
                <w:bCs/>
                <w:kern w:val="0"/>
                <w:sz w:val="16"/>
                <w:szCs w:val="16"/>
                <w:highlight w:val="none"/>
                <w:lang w:bidi="ar"/>
              </w:rPr>
              <w:t>含税月租金</w:t>
            </w:r>
            <w:r>
              <w:rPr>
                <w:rFonts w:hint="eastAsia" w:ascii="黑体" w:hAnsi="黑体" w:eastAsia="黑体" w:cs="黑体"/>
                <w:b/>
                <w:bCs/>
                <w:kern w:val="0"/>
                <w:sz w:val="16"/>
                <w:szCs w:val="16"/>
                <w:highlight w:val="none"/>
                <w:lang w:eastAsia="zh-CN" w:bidi="ar"/>
              </w:rPr>
              <w:t>（</w:t>
            </w:r>
            <w:r>
              <w:rPr>
                <w:rFonts w:hint="eastAsia" w:ascii="黑体" w:hAnsi="黑体" w:eastAsia="黑体" w:cs="黑体"/>
                <w:b/>
                <w:bCs/>
                <w:kern w:val="0"/>
                <w:sz w:val="16"/>
                <w:szCs w:val="16"/>
                <w:highlight w:val="none"/>
                <w:lang w:val="en-US" w:eastAsia="zh-CN" w:bidi="ar"/>
              </w:rPr>
              <w:t>税率13%</w:t>
            </w:r>
            <w:r>
              <w:rPr>
                <w:rFonts w:hint="eastAsia" w:ascii="黑体" w:hAnsi="黑体" w:eastAsia="黑体" w:cs="黑体"/>
                <w:b/>
                <w:bCs/>
                <w:kern w:val="0"/>
                <w:sz w:val="16"/>
                <w:szCs w:val="16"/>
                <w:highlight w:val="none"/>
                <w:lang w:eastAsia="zh-CN" w:bidi="ar"/>
              </w:rPr>
              <w:t>）</w:t>
            </w:r>
          </w:p>
        </w:tc>
        <w:tc>
          <w:tcPr>
            <w:tcW w:w="381" w:type="pct"/>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黑体" w:hAnsi="黑体" w:eastAsia="黑体" w:cs="黑体"/>
                <w:b/>
                <w:bCs/>
                <w:sz w:val="16"/>
                <w:szCs w:val="16"/>
                <w:highlight w:val="none"/>
              </w:rPr>
            </w:pPr>
            <w:r>
              <w:rPr>
                <w:rFonts w:hint="eastAsia" w:ascii="黑体" w:hAnsi="黑体" w:eastAsia="黑体" w:cs="黑体"/>
                <w:b/>
                <w:bCs/>
                <w:kern w:val="0"/>
                <w:sz w:val="16"/>
                <w:szCs w:val="16"/>
                <w:highlight w:val="none"/>
                <w:lang w:bidi="ar"/>
              </w:rPr>
              <w:t>合计（元）</w:t>
            </w:r>
          </w:p>
        </w:tc>
        <w:tc>
          <w:tcPr>
            <w:tcW w:w="327" w:type="pct"/>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设备品牌</w:t>
            </w:r>
          </w:p>
        </w:tc>
        <w:tc>
          <w:tcPr>
            <w:tcW w:w="350" w:type="pct"/>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黑体" w:hAnsi="黑体" w:eastAsia="黑体" w:cs="黑体"/>
                <w:b/>
                <w:bCs/>
                <w:sz w:val="16"/>
                <w:szCs w:val="16"/>
                <w:lang w:val="en-US" w:eastAsia="zh-CN"/>
              </w:rPr>
            </w:pPr>
            <w:r>
              <w:rPr>
                <w:rFonts w:hint="eastAsia" w:ascii="黑体" w:hAnsi="黑体" w:eastAsia="黑体" w:cs="黑体"/>
                <w:b/>
                <w:bCs/>
                <w:kern w:val="0"/>
                <w:sz w:val="16"/>
                <w:szCs w:val="16"/>
                <w:lang w:val="en-US" w:eastAsia="zh-CN" w:bidi="ar"/>
              </w:rPr>
              <w:t>出厂日期</w:t>
            </w:r>
          </w:p>
        </w:tc>
        <w:tc>
          <w:tcPr>
            <w:tcW w:w="255" w:type="pct"/>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备注</w:t>
            </w:r>
          </w:p>
        </w:tc>
      </w:tr>
      <w:tr>
        <w:tblPrEx>
          <w:tblCellMar>
            <w:top w:w="0" w:type="dxa"/>
            <w:left w:w="108" w:type="dxa"/>
            <w:bottom w:w="0" w:type="dxa"/>
            <w:right w:w="108" w:type="dxa"/>
          </w:tblCellMar>
        </w:tblPrEx>
        <w:trPr>
          <w:trHeight w:val="90" w:hRule="atLeast"/>
          <w:jc w:val="center"/>
        </w:trPr>
        <w:tc>
          <w:tcPr>
            <w:tcW w:w="20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黑体" w:hAnsi="黑体" w:eastAsia="黑体" w:cs="黑体"/>
                <w:b/>
                <w:bCs/>
                <w:sz w:val="22"/>
                <w:szCs w:val="22"/>
              </w:rPr>
            </w:pPr>
          </w:p>
        </w:tc>
        <w:tc>
          <w:tcPr>
            <w:tcW w:w="281" w:type="pct"/>
            <w:vMerge w:val="continue"/>
            <w:tcBorders>
              <w:left w:val="single" w:color="000000" w:sz="4" w:space="0"/>
              <w:bottom w:val="single" w:color="000000" w:sz="4" w:space="0"/>
              <w:right w:val="single" w:color="000000" w:sz="4" w:space="0"/>
            </w:tcBorders>
            <w:noWrap/>
            <w:vAlign w:val="center"/>
          </w:tcPr>
          <w:p>
            <w:pPr>
              <w:jc w:val="center"/>
              <w:rPr>
                <w:rFonts w:hint="eastAsia" w:ascii="黑体" w:hAnsi="黑体" w:eastAsia="黑体" w:cs="黑体"/>
                <w:b/>
                <w:bCs/>
                <w:sz w:val="22"/>
                <w:szCs w:val="22"/>
              </w:rPr>
            </w:pPr>
          </w:p>
        </w:tc>
        <w:tc>
          <w:tcPr>
            <w:tcW w:w="425"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黑体" w:hAnsi="黑体" w:eastAsia="黑体" w:cs="黑体"/>
                <w:b/>
                <w:bCs/>
                <w:sz w:val="22"/>
                <w:szCs w:val="22"/>
              </w:rPr>
            </w:pPr>
          </w:p>
        </w:tc>
        <w:tc>
          <w:tcPr>
            <w:tcW w:w="41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b/>
                <w:bCs/>
                <w:sz w:val="22"/>
                <w:szCs w:val="22"/>
              </w:rPr>
            </w:pPr>
          </w:p>
        </w:tc>
        <w:tc>
          <w:tcPr>
            <w:tcW w:w="41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b/>
                <w:bCs/>
                <w:sz w:val="22"/>
                <w:szCs w:val="22"/>
              </w:rPr>
            </w:pPr>
          </w:p>
        </w:tc>
        <w:tc>
          <w:tcPr>
            <w:tcW w:w="22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b/>
                <w:bCs/>
                <w:sz w:val="22"/>
                <w:szCs w:val="22"/>
              </w:rPr>
            </w:pPr>
          </w:p>
        </w:tc>
        <w:tc>
          <w:tcPr>
            <w:tcW w:w="22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b/>
                <w:bCs/>
                <w:sz w:val="22"/>
                <w:szCs w:val="22"/>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b/>
                <w:bCs/>
                <w:sz w:val="22"/>
                <w:szCs w:val="22"/>
                <w:highlight w:val="none"/>
              </w:rPr>
            </w:pPr>
          </w:p>
        </w:tc>
        <w:tc>
          <w:tcPr>
            <w:tcW w:w="552" w:type="pct"/>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rFonts w:hint="eastAsia" w:ascii="黑体" w:hAnsi="黑体" w:eastAsia="黑体" w:cs="黑体"/>
                <w:b/>
                <w:bCs/>
                <w:sz w:val="16"/>
                <w:szCs w:val="16"/>
                <w:highlight w:val="none"/>
              </w:rPr>
            </w:pPr>
            <w:r>
              <w:rPr>
                <w:rStyle w:val="16"/>
                <w:rFonts w:hint="default" w:ascii="黑体" w:hAnsi="黑体" w:eastAsia="黑体" w:cs="黑体"/>
                <w:color w:val="auto"/>
                <w:sz w:val="16"/>
                <w:szCs w:val="16"/>
                <w:highlight w:val="none"/>
                <w:lang w:bidi="ar"/>
              </w:rPr>
              <w:t>（元/台）</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rFonts w:hint="eastAsia" w:ascii="黑体" w:hAnsi="黑体" w:eastAsia="黑体" w:cs="黑体"/>
                <w:b/>
                <w:bCs/>
                <w:sz w:val="16"/>
                <w:szCs w:val="16"/>
                <w:highlight w:val="none"/>
              </w:rPr>
            </w:pPr>
            <w:r>
              <w:rPr>
                <w:rStyle w:val="16"/>
                <w:rFonts w:hint="default" w:ascii="黑体" w:hAnsi="黑体" w:eastAsia="黑体" w:cs="黑体"/>
                <w:color w:val="auto"/>
                <w:sz w:val="16"/>
                <w:szCs w:val="16"/>
                <w:highlight w:val="none"/>
                <w:lang w:bidi="ar"/>
              </w:rPr>
              <w:t>（元/月/台）</w:t>
            </w:r>
          </w:p>
        </w:tc>
        <w:tc>
          <w:tcPr>
            <w:tcW w:w="381"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黑体" w:hAnsi="黑体" w:eastAsia="黑体" w:cs="黑体"/>
                <w:b/>
                <w:bCs/>
                <w:sz w:val="22"/>
                <w:szCs w:val="22"/>
                <w:highlight w:val="none"/>
              </w:rPr>
            </w:pPr>
          </w:p>
        </w:tc>
        <w:tc>
          <w:tcPr>
            <w:tcW w:w="327" w:type="pct"/>
            <w:vMerge w:val="continue"/>
            <w:tcBorders>
              <w:top w:val="single" w:color="000000" w:sz="4" w:space="0"/>
              <w:left w:val="single" w:color="000000" w:sz="4" w:space="0"/>
              <w:bottom w:val="single" w:color="auto" w:sz="4" w:space="0"/>
              <w:right w:val="single" w:color="000000" w:sz="4" w:space="0"/>
            </w:tcBorders>
            <w:noWrap/>
            <w:vAlign w:val="center"/>
          </w:tcPr>
          <w:p>
            <w:pPr>
              <w:jc w:val="center"/>
              <w:rPr>
                <w:rFonts w:hint="eastAsia" w:ascii="黑体" w:hAnsi="黑体" w:eastAsia="黑体" w:cs="黑体"/>
                <w:b/>
                <w:bCs/>
                <w:sz w:val="22"/>
                <w:szCs w:val="22"/>
              </w:rPr>
            </w:pPr>
          </w:p>
        </w:tc>
        <w:tc>
          <w:tcPr>
            <w:tcW w:w="350" w:type="pct"/>
            <w:vMerge w:val="continue"/>
            <w:tcBorders>
              <w:top w:val="single" w:color="000000" w:sz="4" w:space="0"/>
              <w:left w:val="single" w:color="000000" w:sz="4" w:space="0"/>
              <w:bottom w:val="single" w:color="auto" w:sz="4" w:space="0"/>
              <w:right w:val="single" w:color="000000" w:sz="4" w:space="0"/>
            </w:tcBorders>
            <w:noWrap w:val="0"/>
            <w:vAlign w:val="center"/>
          </w:tcPr>
          <w:p>
            <w:pPr>
              <w:jc w:val="center"/>
              <w:rPr>
                <w:rFonts w:hint="eastAsia" w:ascii="黑体" w:hAnsi="黑体" w:eastAsia="黑体" w:cs="黑体"/>
                <w:b/>
                <w:bCs/>
                <w:sz w:val="22"/>
                <w:szCs w:val="22"/>
              </w:rPr>
            </w:pPr>
          </w:p>
        </w:tc>
        <w:tc>
          <w:tcPr>
            <w:tcW w:w="255"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黑体" w:hAnsi="黑体" w:eastAsia="黑体" w:cs="黑体"/>
                <w:b/>
                <w:bCs/>
                <w:sz w:val="22"/>
                <w:szCs w:val="22"/>
              </w:rPr>
            </w:pPr>
          </w:p>
        </w:tc>
      </w:tr>
      <w:tr>
        <w:trPr>
          <w:trHeight w:val="540" w:hRule="atLeast"/>
          <w:jc w:val="center"/>
        </w:trPr>
        <w:tc>
          <w:tcPr>
            <w:tcW w:w="20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黑体" w:hAnsi="黑体" w:eastAsia="黑体" w:cs="黑体"/>
                <w:sz w:val="16"/>
                <w:szCs w:val="16"/>
              </w:rPr>
            </w:pPr>
            <w:r>
              <w:rPr>
                <w:rFonts w:hint="eastAsia" w:ascii="黑体" w:hAnsi="黑体" w:eastAsia="黑体" w:cs="黑体"/>
                <w:kern w:val="0"/>
                <w:sz w:val="16"/>
                <w:szCs w:val="16"/>
                <w:lang w:bidi="ar"/>
              </w:rPr>
              <w:t>1</w:t>
            </w:r>
          </w:p>
        </w:tc>
        <w:tc>
          <w:tcPr>
            <w:tcW w:w="2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塔吊</w:t>
            </w:r>
          </w:p>
        </w:tc>
        <w:tc>
          <w:tcPr>
            <w:tcW w:w="42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2"/>
                <w:sz w:val="16"/>
                <w:szCs w:val="16"/>
                <w:lang w:val="en-US" w:eastAsia="zh-CN" w:bidi="ar-SA"/>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60米</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30米</w:t>
            </w:r>
          </w:p>
        </w:tc>
        <w:tc>
          <w:tcPr>
            <w:tcW w:w="22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0"/>
                <w:sz w:val="16"/>
                <w:szCs w:val="16"/>
                <w:lang w:val="en-US" w:eastAsia="zh-CN" w:bidi="ar"/>
              </w:rPr>
            </w:pPr>
            <w:r>
              <w:rPr>
                <w:rFonts w:hint="eastAsia" w:ascii="黑体" w:hAnsi="黑体" w:eastAsia="黑体" w:cs="黑体"/>
                <w:color w:val="auto"/>
                <w:kern w:val="0"/>
                <w:sz w:val="16"/>
                <w:szCs w:val="16"/>
                <w:lang w:val="en-US" w:eastAsia="zh-CN" w:bidi="ar"/>
              </w:rPr>
              <w:t>台</w:t>
            </w:r>
          </w:p>
        </w:tc>
        <w:tc>
          <w:tcPr>
            <w:tcW w:w="22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2</w:t>
            </w:r>
          </w:p>
        </w:tc>
        <w:tc>
          <w:tcPr>
            <w:tcW w:w="40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2"/>
                <w:sz w:val="16"/>
                <w:szCs w:val="16"/>
                <w:highlight w:val="none"/>
                <w:lang w:val="en-US" w:eastAsia="zh-CN" w:bidi="ar-SA"/>
              </w:rPr>
            </w:pPr>
            <w:r>
              <w:rPr>
                <w:rFonts w:hint="eastAsia" w:ascii="黑体" w:hAnsi="黑体" w:eastAsia="黑体" w:cs="黑体"/>
                <w:color w:val="auto"/>
                <w:kern w:val="2"/>
                <w:sz w:val="16"/>
                <w:szCs w:val="16"/>
                <w:highlight w:val="none"/>
                <w:lang w:val="en-US" w:eastAsia="zh-CN" w:bidi="ar-SA"/>
              </w:rPr>
              <w:t>7</w:t>
            </w:r>
          </w:p>
        </w:tc>
        <w:tc>
          <w:tcPr>
            <w:tcW w:w="55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default" w:ascii="黑体" w:hAnsi="黑体" w:eastAsia="黑体" w:cs="黑体"/>
                <w:kern w:val="2"/>
                <w:sz w:val="16"/>
                <w:szCs w:val="16"/>
                <w:highlight w:val="none"/>
                <w:lang w:val="en-US" w:eastAsia="zh-CN" w:bidi="ar-SA"/>
              </w:rPr>
            </w:pPr>
          </w:p>
        </w:tc>
        <w:tc>
          <w:tcPr>
            <w:tcW w:w="542"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default" w:ascii="黑体" w:hAnsi="黑体" w:eastAsia="黑体" w:cs="黑体"/>
                <w:kern w:val="2"/>
                <w:sz w:val="16"/>
                <w:szCs w:val="16"/>
                <w:highlight w:val="none"/>
                <w:lang w:val="en-US" w:eastAsia="zh-CN" w:bidi="ar-SA"/>
              </w:rPr>
            </w:pPr>
          </w:p>
        </w:tc>
        <w:tc>
          <w:tcPr>
            <w:tcW w:w="381" w:type="pct"/>
            <w:tcBorders>
              <w:top w:val="single" w:color="000000" w:sz="4" w:space="0"/>
              <w:left w:val="single" w:color="000000" w:sz="4" w:space="0"/>
              <w:bottom w:val="single" w:color="000000" w:sz="4" w:space="0"/>
              <w:right w:val="single" w:color="auto" w:sz="4" w:space="0"/>
            </w:tcBorders>
            <w:noWrap/>
            <w:vAlign w:val="center"/>
          </w:tcPr>
          <w:p>
            <w:pPr>
              <w:jc w:val="center"/>
              <w:rPr>
                <w:rFonts w:hint="default" w:ascii="黑体" w:hAnsi="黑体" w:eastAsia="黑体" w:cs="黑体"/>
                <w:kern w:val="2"/>
                <w:sz w:val="16"/>
                <w:szCs w:val="16"/>
                <w:highlight w:val="none"/>
                <w:lang w:val="en-US" w:eastAsia="zh-CN" w:bidi="ar-SA"/>
              </w:rPr>
            </w:pPr>
          </w:p>
        </w:tc>
        <w:tc>
          <w:tcPr>
            <w:tcW w:w="32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黑体" w:hAnsi="黑体" w:eastAsia="黑体" w:cs="黑体"/>
                <w:sz w:val="16"/>
                <w:szCs w:val="16"/>
              </w:rPr>
            </w:pPr>
          </w:p>
        </w:tc>
        <w:tc>
          <w:tcPr>
            <w:tcW w:w="350" w:type="pct"/>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黑体" w:hAnsi="黑体" w:eastAsia="黑体" w:cs="黑体"/>
                <w:sz w:val="16"/>
                <w:szCs w:val="16"/>
                <w:lang w:val="en-US" w:eastAsia="zh-CN"/>
              </w:rPr>
            </w:pPr>
          </w:p>
        </w:tc>
        <w:tc>
          <w:tcPr>
            <w:tcW w:w="255" w:type="pct"/>
            <w:tcBorders>
              <w:top w:val="single" w:color="000000" w:sz="4" w:space="0"/>
              <w:left w:val="single" w:color="auto" w:sz="4" w:space="0"/>
              <w:bottom w:val="single" w:color="000000" w:sz="4" w:space="0"/>
              <w:right w:val="single" w:color="000000" w:sz="4" w:space="0"/>
            </w:tcBorders>
            <w:noWrap w:val="0"/>
            <w:vAlign w:val="center"/>
          </w:tcPr>
          <w:p>
            <w:pPr>
              <w:widowControl/>
              <w:jc w:val="left"/>
              <w:textAlignment w:val="center"/>
              <w:rPr>
                <w:rFonts w:hint="eastAsia" w:ascii="黑体" w:hAnsi="黑体" w:eastAsia="黑体" w:cs="黑体"/>
                <w:kern w:val="2"/>
                <w:sz w:val="16"/>
                <w:szCs w:val="16"/>
                <w:lang w:val="en-US" w:eastAsia="zh-CN" w:bidi="ar-SA"/>
              </w:rPr>
            </w:pPr>
          </w:p>
        </w:tc>
      </w:tr>
      <w:tr>
        <w:tblPrEx>
          <w:tblCellMar>
            <w:top w:w="0" w:type="dxa"/>
            <w:left w:w="108" w:type="dxa"/>
            <w:bottom w:w="0" w:type="dxa"/>
            <w:right w:w="108" w:type="dxa"/>
          </w:tblCellMar>
        </w:tblPrEx>
        <w:trPr>
          <w:trHeight w:val="578" w:hRule="atLeast"/>
          <w:jc w:val="center"/>
        </w:trPr>
        <w:tc>
          <w:tcPr>
            <w:tcW w:w="20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kern w:val="0"/>
                <w:sz w:val="16"/>
                <w:szCs w:val="16"/>
                <w:lang w:val="en-US" w:eastAsia="zh-CN" w:bidi="ar"/>
              </w:rPr>
            </w:pPr>
            <w:r>
              <w:rPr>
                <w:rFonts w:hint="eastAsia" w:ascii="黑体" w:hAnsi="黑体" w:eastAsia="黑体" w:cs="黑体"/>
                <w:kern w:val="0"/>
                <w:sz w:val="16"/>
                <w:szCs w:val="16"/>
                <w:lang w:val="en-US" w:eastAsia="zh-CN" w:bidi="ar"/>
              </w:rPr>
              <w:t>2</w:t>
            </w:r>
          </w:p>
        </w:tc>
        <w:tc>
          <w:tcPr>
            <w:tcW w:w="2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0"/>
                <w:sz w:val="16"/>
                <w:szCs w:val="16"/>
                <w:lang w:val="en-US" w:eastAsia="zh-CN" w:bidi="ar"/>
              </w:rPr>
            </w:pPr>
            <w:r>
              <w:rPr>
                <w:rFonts w:hint="eastAsia" w:ascii="黑体" w:hAnsi="黑体" w:eastAsia="黑体" w:cs="黑体"/>
                <w:color w:val="auto"/>
                <w:kern w:val="0"/>
                <w:sz w:val="16"/>
                <w:szCs w:val="16"/>
                <w:lang w:val="en-US" w:eastAsia="zh-CN" w:bidi="ar"/>
              </w:rPr>
              <w:t>人货电梯</w:t>
            </w:r>
          </w:p>
        </w:tc>
        <w:tc>
          <w:tcPr>
            <w:tcW w:w="42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0"/>
                <w:sz w:val="16"/>
                <w:szCs w:val="16"/>
                <w:lang w:val="en-US" w:eastAsia="zh-CN" w:bidi="ar"/>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default" w:ascii="黑体" w:hAnsi="黑体" w:eastAsia="黑体" w:cs="黑体"/>
                <w:color w:val="auto"/>
                <w:kern w:val="2"/>
                <w:sz w:val="16"/>
                <w:szCs w:val="16"/>
                <w:lang w:val="en-US" w:eastAsia="zh-CN" w:bidi="ar-SA"/>
              </w:rPr>
            </w:pPr>
            <w:r>
              <w:rPr>
                <w:rFonts w:hint="eastAsia" w:ascii="宋体" w:hAnsi="宋体" w:eastAsia="宋体" w:cs="宋体"/>
                <w:color w:val="auto"/>
                <w:kern w:val="0"/>
                <w:sz w:val="16"/>
                <w:szCs w:val="16"/>
                <w:lang w:val="en-US" w:eastAsia="zh-CN" w:bidi="ar"/>
              </w:rPr>
              <w:t>/</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20米</w:t>
            </w:r>
          </w:p>
        </w:tc>
        <w:tc>
          <w:tcPr>
            <w:tcW w:w="22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黑体" w:hAnsi="黑体" w:eastAsia="黑体" w:cs="黑体"/>
                <w:color w:val="auto"/>
                <w:kern w:val="0"/>
                <w:sz w:val="16"/>
                <w:szCs w:val="16"/>
                <w:lang w:val="en-US" w:eastAsia="zh-CN" w:bidi="ar"/>
              </w:rPr>
            </w:pPr>
            <w:r>
              <w:rPr>
                <w:rFonts w:hint="eastAsia" w:ascii="黑体" w:hAnsi="黑体" w:eastAsia="黑体" w:cs="黑体"/>
                <w:color w:val="auto"/>
                <w:kern w:val="0"/>
                <w:sz w:val="16"/>
                <w:szCs w:val="16"/>
                <w:lang w:val="en-US" w:eastAsia="zh-CN" w:bidi="ar"/>
              </w:rPr>
              <w:t>台</w:t>
            </w:r>
          </w:p>
        </w:tc>
        <w:tc>
          <w:tcPr>
            <w:tcW w:w="22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2</w:t>
            </w:r>
            <w:bookmarkStart w:id="19" w:name="_GoBack"/>
            <w:bookmarkEnd w:id="19"/>
          </w:p>
        </w:tc>
        <w:tc>
          <w:tcPr>
            <w:tcW w:w="408"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default" w:ascii="黑体" w:hAnsi="黑体" w:eastAsia="黑体" w:cs="黑体"/>
                <w:color w:val="auto"/>
                <w:kern w:val="2"/>
                <w:sz w:val="16"/>
                <w:szCs w:val="16"/>
                <w:highlight w:val="none"/>
                <w:lang w:val="en-US" w:eastAsia="zh-CN" w:bidi="ar-SA"/>
              </w:rPr>
            </w:pPr>
            <w:r>
              <w:rPr>
                <w:rFonts w:hint="eastAsia" w:ascii="黑体" w:hAnsi="黑体" w:eastAsia="黑体" w:cs="黑体"/>
                <w:color w:val="auto"/>
                <w:kern w:val="2"/>
                <w:sz w:val="16"/>
                <w:szCs w:val="16"/>
                <w:highlight w:val="none"/>
                <w:lang w:val="en-US" w:eastAsia="zh-CN" w:bidi="ar-SA"/>
              </w:rPr>
              <w:t>7</w:t>
            </w:r>
          </w:p>
        </w:tc>
        <w:tc>
          <w:tcPr>
            <w:tcW w:w="552" w:type="pct"/>
            <w:tcBorders>
              <w:top w:val="single" w:color="000000" w:sz="4" w:space="0"/>
              <w:left w:val="single" w:color="000000" w:sz="4" w:space="0"/>
              <w:bottom w:val="single" w:color="000000" w:sz="4" w:space="0"/>
              <w:right w:val="single" w:color="000000" w:sz="4" w:space="0"/>
            </w:tcBorders>
            <w:noWrap/>
            <w:vAlign w:val="center"/>
          </w:tcPr>
          <w:p>
            <w:pPr>
              <w:ind w:firstLine="160" w:firstLineChars="100"/>
              <w:jc w:val="left"/>
              <w:rPr>
                <w:rFonts w:hint="default" w:ascii="黑体" w:hAnsi="黑体" w:eastAsia="黑体" w:cs="黑体"/>
                <w:kern w:val="2"/>
                <w:sz w:val="16"/>
                <w:szCs w:val="16"/>
                <w:highlight w:val="none"/>
                <w:lang w:val="en-US" w:eastAsia="zh-CN" w:bidi="ar-SA"/>
              </w:rPr>
            </w:pPr>
          </w:p>
        </w:tc>
        <w:tc>
          <w:tcPr>
            <w:tcW w:w="542" w:type="pct"/>
            <w:tcBorders>
              <w:top w:val="single" w:color="000000" w:sz="4" w:space="0"/>
              <w:left w:val="single" w:color="000000" w:sz="4" w:space="0"/>
              <w:bottom w:val="single" w:color="000000" w:sz="4" w:space="0"/>
              <w:right w:val="single" w:color="000000" w:sz="4" w:space="0"/>
            </w:tcBorders>
            <w:noWrap/>
            <w:vAlign w:val="center"/>
          </w:tcPr>
          <w:p>
            <w:pPr>
              <w:ind w:firstLine="320" w:firstLineChars="200"/>
              <w:jc w:val="left"/>
              <w:rPr>
                <w:rFonts w:hint="default" w:ascii="黑体" w:hAnsi="黑体" w:eastAsia="黑体" w:cs="黑体"/>
                <w:kern w:val="2"/>
                <w:sz w:val="16"/>
                <w:szCs w:val="16"/>
                <w:highlight w:val="none"/>
                <w:lang w:val="en-US" w:eastAsia="zh-CN" w:bidi="ar-SA"/>
              </w:rPr>
            </w:pPr>
          </w:p>
        </w:tc>
        <w:tc>
          <w:tcPr>
            <w:tcW w:w="381" w:type="pct"/>
            <w:tcBorders>
              <w:top w:val="single" w:color="000000" w:sz="4" w:space="0"/>
              <w:left w:val="single" w:color="000000" w:sz="4" w:space="0"/>
              <w:bottom w:val="single" w:color="000000" w:sz="4" w:space="0"/>
              <w:right w:val="single" w:color="auto" w:sz="4" w:space="0"/>
            </w:tcBorders>
            <w:noWrap/>
            <w:vAlign w:val="center"/>
          </w:tcPr>
          <w:p>
            <w:pPr>
              <w:jc w:val="center"/>
              <w:rPr>
                <w:rFonts w:hint="default" w:ascii="黑体" w:hAnsi="黑体" w:eastAsia="黑体" w:cs="黑体"/>
                <w:kern w:val="2"/>
                <w:sz w:val="16"/>
                <w:szCs w:val="16"/>
                <w:highlight w:val="none"/>
                <w:lang w:val="en-US" w:eastAsia="zh-CN" w:bidi="ar-SA"/>
              </w:rPr>
            </w:pPr>
          </w:p>
        </w:tc>
        <w:tc>
          <w:tcPr>
            <w:tcW w:w="32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黑体" w:hAnsi="黑体" w:eastAsia="黑体" w:cs="黑体"/>
                <w:kern w:val="0"/>
                <w:sz w:val="16"/>
                <w:szCs w:val="16"/>
                <w:lang w:bidi="ar"/>
              </w:rPr>
            </w:pPr>
          </w:p>
        </w:tc>
        <w:tc>
          <w:tcPr>
            <w:tcW w:w="350" w:type="pct"/>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黑体" w:hAnsi="黑体" w:eastAsia="黑体" w:cs="黑体"/>
                <w:kern w:val="0"/>
                <w:sz w:val="16"/>
                <w:szCs w:val="16"/>
                <w:lang w:bidi="ar"/>
              </w:rPr>
            </w:pPr>
          </w:p>
        </w:tc>
        <w:tc>
          <w:tcPr>
            <w:tcW w:w="255" w:type="pct"/>
            <w:tcBorders>
              <w:top w:val="single" w:color="000000" w:sz="4" w:space="0"/>
              <w:left w:val="single" w:color="auto" w:sz="4" w:space="0"/>
              <w:bottom w:val="single" w:color="000000" w:sz="4" w:space="0"/>
              <w:right w:val="single" w:color="000000" w:sz="4" w:space="0"/>
            </w:tcBorders>
            <w:noWrap w:val="0"/>
            <w:vAlign w:val="center"/>
          </w:tcPr>
          <w:p>
            <w:pPr>
              <w:jc w:val="left"/>
              <w:rPr>
                <w:rFonts w:hint="eastAsia" w:ascii="黑体" w:hAnsi="黑体" w:eastAsia="黑体" w:cs="黑体"/>
                <w:kern w:val="2"/>
                <w:sz w:val="16"/>
                <w:szCs w:val="16"/>
                <w:lang w:val="en-US" w:eastAsia="zh-CN" w:bidi="ar-SA"/>
              </w:rPr>
            </w:pPr>
          </w:p>
        </w:tc>
      </w:tr>
      <w:tr>
        <w:tblPrEx>
          <w:tblCellMar>
            <w:top w:w="0" w:type="dxa"/>
            <w:left w:w="108" w:type="dxa"/>
            <w:bottom w:w="0" w:type="dxa"/>
            <w:right w:w="108" w:type="dxa"/>
          </w:tblCellMar>
        </w:tblPrEx>
        <w:trPr>
          <w:trHeight w:val="337" w:hRule="atLeast"/>
          <w:jc w:val="center"/>
        </w:trPr>
        <w:tc>
          <w:tcPr>
            <w:tcW w:w="5000" w:type="pct"/>
            <w:gridSpan w:val="14"/>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default" w:ascii="黑体" w:hAnsi="黑体" w:eastAsia="黑体" w:cs="黑体"/>
                <w:sz w:val="22"/>
                <w:szCs w:val="22"/>
                <w:lang w:val="en-US" w:eastAsia="zh-CN"/>
              </w:rPr>
            </w:pPr>
            <w:r>
              <w:rPr>
                <w:rFonts w:hint="eastAsia" w:ascii="黑体" w:hAnsi="黑体" w:eastAsia="黑体" w:cs="黑体"/>
                <w:sz w:val="22"/>
                <w:szCs w:val="22"/>
                <w:lang w:val="en-US" w:eastAsia="zh-CN"/>
              </w:rPr>
              <w:t>总价：（金额大小写均须填写）</w:t>
            </w:r>
          </w:p>
        </w:tc>
      </w:tr>
      <w:tr>
        <w:tblPrEx>
          <w:tblCellMar>
            <w:top w:w="0" w:type="dxa"/>
            <w:left w:w="108" w:type="dxa"/>
            <w:bottom w:w="0" w:type="dxa"/>
            <w:right w:w="108" w:type="dxa"/>
          </w:tblCellMar>
        </w:tblPrEx>
        <w:trPr>
          <w:trHeight w:val="90" w:hRule="atLeast"/>
          <w:jc w:val="center"/>
        </w:trPr>
        <w:tc>
          <w:tcPr>
            <w:tcW w:w="5000" w:type="pct"/>
            <w:gridSpan w:val="14"/>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黑体" w:hAnsi="黑体" w:eastAsia="黑体" w:cs="黑体"/>
                <w:kern w:val="0"/>
                <w:sz w:val="18"/>
                <w:szCs w:val="18"/>
                <w:lang w:eastAsia="zh-CN" w:bidi="ar"/>
              </w:rPr>
            </w:pPr>
            <w:r>
              <w:rPr>
                <w:rFonts w:hint="eastAsia" w:ascii="黑体" w:hAnsi="黑体" w:eastAsia="黑体" w:cs="黑体"/>
                <w:kern w:val="0"/>
                <w:sz w:val="18"/>
                <w:szCs w:val="18"/>
                <w:lang w:bidi="ar"/>
              </w:rPr>
              <w:t>说明：1</w:t>
            </w:r>
            <w:r>
              <w:rPr>
                <w:rFonts w:hint="eastAsia" w:ascii="黑体" w:hAnsi="黑体" w:eastAsia="黑体" w:cs="黑体"/>
                <w:kern w:val="0"/>
                <w:sz w:val="18"/>
                <w:szCs w:val="18"/>
                <w:lang w:eastAsia="zh-CN" w:bidi="ar"/>
              </w:rPr>
              <w:t>、</w:t>
            </w:r>
            <w:r>
              <w:rPr>
                <w:rFonts w:hint="eastAsia" w:ascii="黑体" w:hAnsi="黑体" w:eastAsia="黑体" w:cs="黑体"/>
                <w:kern w:val="0"/>
                <w:sz w:val="18"/>
                <w:szCs w:val="18"/>
                <w:lang w:val="en-US" w:eastAsia="zh-CN" w:bidi="ar"/>
              </w:rPr>
              <w:t>不包含司机及信号工费用</w:t>
            </w:r>
            <w:r>
              <w:rPr>
                <w:rFonts w:hint="eastAsia" w:ascii="黑体" w:hAnsi="黑体" w:eastAsia="黑体" w:cs="黑体"/>
                <w:kern w:val="0"/>
                <w:sz w:val="18"/>
                <w:szCs w:val="18"/>
                <w:lang w:bidi="ar"/>
              </w:rPr>
              <w:t>。</w:t>
            </w:r>
          </w:p>
          <w:p>
            <w:pPr>
              <w:widowControl/>
              <w:spacing w:line="240" w:lineRule="exact"/>
              <w:ind w:firstLine="559" w:firstLineChars="0"/>
              <w:jc w:val="left"/>
              <w:textAlignment w:val="center"/>
              <w:rPr>
                <w:rFonts w:hint="default" w:ascii="黑体" w:hAnsi="黑体" w:eastAsia="黑体" w:cs="黑体"/>
                <w:sz w:val="22"/>
                <w:szCs w:val="22"/>
                <w:lang w:val="en-US" w:eastAsia="zh-CN"/>
              </w:rPr>
            </w:pPr>
            <w:r>
              <w:rPr>
                <w:rFonts w:hint="eastAsia" w:ascii="黑体" w:hAnsi="黑体" w:eastAsia="黑体" w:cs="黑体"/>
                <w:kern w:val="0"/>
                <w:sz w:val="18"/>
                <w:szCs w:val="18"/>
                <w:lang w:val="en-US" w:eastAsia="zh-CN" w:bidi="ar"/>
              </w:rPr>
              <w:t>2、</w:t>
            </w:r>
            <w:r>
              <w:rPr>
                <w:rFonts w:hint="default" w:ascii="黑体" w:hAnsi="黑体" w:eastAsia="黑体" w:cs="黑体"/>
                <w:kern w:val="0"/>
                <w:sz w:val="18"/>
                <w:szCs w:val="18"/>
                <w:lang w:val="en-US" w:eastAsia="zh-CN" w:bidi="ar"/>
              </w:rPr>
              <w:t>超出</w:t>
            </w:r>
            <w:r>
              <w:rPr>
                <w:rFonts w:hint="eastAsia" w:ascii="黑体" w:hAnsi="黑体" w:eastAsia="黑体" w:cs="黑体"/>
                <w:kern w:val="0"/>
                <w:sz w:val="18"/>
                <w:szCs w:val="18"/>
                <w:lang w:val="en-US" w:eastAsia="zh-CN" w:bidi="ar"/>
              </w:rPr>
              <w:t>单价</w:t>
            </w:r>
            <w:r>
              <w:rPr>
                <w:rFonts w:hint="default" w:ascii="黑体" w:hAnsi="黑体" w:eastAsia="黑体" w:cs="黑体"/>
                <w:kern w:val="0"/>
                <w:sz w:val="18"/>
                <w:szCs w:val="18"/>
                <w:lang w:val="en-US" w:eastAsia="zh-CN" w:bidi="ar"/>
              </w:rPr>
              <w:t>限价属于无效报价</w:t>
            </w:r>
            <w:r>
              <w:rPr>
                <w:rFonts w:hint="eastAsia" w:ascii="黑体" w:hAnsi="黑体" w:eastAsia="黑体" w:cs="黑体"/>
                <w:kern w:val="0"/>
                <w:sz w:val="18"/>
                <w:szCs w:val="18"/>
                <w:lang w:val="en-US" w:eastAsia="zh-CN" w:bidi="ar"/>
              </w:rPr>
              <w:t>。</w:t>
            </w:r>
          </w:p>
        </w:tc>
      </w:tr>
    </w:tbl>
    <w:p>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8"/>
    </w:p>
    <w:p>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本报价包含货物采购、运输、装卸、安装、调试、检测、税费、售后服务及合同履行过程中所有隐含费用，无额外收费；</w:t>
      </w:r>
    </w:p>
    <w:p>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大写金额与小写金额不一致的，以大写金额为准；总价与单价汇总金额不一致的，以单价计算结果为准（单价小数点明显错位的，以总价为准并修正单价）。</w:t>
      </w:r>
    </w:p>
    <w:p>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9" w:name="_Toc12598"/>
      <w:bookmarkStart w:id="10" w:name="_Toc16662"/>
      <w:bookmarkStart w:id="11" w:name="heading_6"/>
      <w:r>
        <w:rPr>
          <w:rFonts w:hint="eastAsia" w:ascii="仿宋" w:hAnsi="仿宋" w:eastAsia="仿宋" w:cs="仿宋"/>
          <w:sz w:val="28"/>
          <w:szCs w:val="28"/>
          <w:lang w:val="en-US" w:eastAsia="zh-CN"/>
        </w:rPr>
        <w:t>4.投标承诺函</w:t>
      </w:r>
      <w:bookmarkEnd w:id="9"/>
      <w:bookmarkEnd w:id="10"/>
      <w:bookmarkEnd w:id="11"/>
    </w:p>
    <w:p>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2.已了解询价公告内容，承诺若中标则按照询价公告及合同约定履行义务，确保货物质量、交货期，接受贵方监督。</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2" w:name="heading_7"/>
      <w:bookmarkStart w:id="13" w:name="_Toc32578"/>
      <w:bookmarkStart w:id="14" w:name="_Toc2725"/>
      <w:r>
        <w:rPr>
          <w:rFonts w:hint="eastAsia" w:ascii="仿宋" w:hAnsi="仿宋" w:eastAsia="仿宋" w:cs="仿宋"/>
          <w:sz w:val="28"/>
          <w:szCs w:val="28"/>
          <w:lang w:val="en-US" w:eastAsia="zh-CN"/>
        </w:rPr>
        <w:t>5.无重大违法记录声明函</w:t>
      </w:r>
      <w:bookmarkEnd w:id="12"/>
      <w:bookmarkEnd w:id="13"/>
      <w:bookmarkEnd w:id="14"/>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pPr>
        <w:jc w:val="center"/>
        <w:rPr>
          <w:rStyle w:val="13"/>
          <w:rFonts w:ascii="仿宋" w:hAnsi="仿宋" w:eastAsia="仿宋" w:cs="仿宋"/>
          <w:b/>
          <w:bCs/>
          <w:kern w:val="0"/>
          <w:sz w:val="36"/>
          <w:szCs w:val="36"/>
        </w:rPr>
      </w:pPr>
    </w:p>
    <w:p>
      <w:pPr>
        <w:jc w:val="center"/>
        <w:outlineLvl w:val="0"/>
        <w:rPr>
          <w:rStyle w:val="13"/>
          <w:rFonts w:ascii="仿宋" w:hAnsi="仿宋" w:eastAsia="仿宋" w:cs="仿宋"/>
          <w:b/>
          <w:bCs/>
          <w:kern w:val="0"/>
          <w:sz w:val="28"/>
          <w:szCs w:val="28"/>
        </w:rPr>
      </w:pPr>
      <w:bookmarkStart w:id="15" w:name="_Toc25614"/>
      <w:bookmarkStart w:id="16" w:name="_Toc18755"/>
      <w:r>
        <w:rPr>
          <w:rStyle w:val="13"/>
          <w:rFonts w:hint="eastAsia" w:ascii="仿宋" w:hAnsi="仿宋" w:eastAsia="仿宋" w:cs="仿宋"/>
          <w:b/>
          <w:bCs/>
          <w:kern w:val="0"/>
          <w:sz w:val="28"/>
          <w:szCs w:val="28"/>
          <w:lang w:val="en-US"/>
        </w:rPr>
        <w:t>6.</w:t>
      </w:r>
      <w:r>
        <w:rPr>
          <w:rStyle w:val="13"/>
          <w:rFonts w:hint="eastAsia" w:ascii="仿宋" w:hAnsi="仿宋" w:eastAsia="仿宋" w:cs="仿宋"/>
          <w:b/>
          <w:bCs/>
          <w:kern w:val="0"/>
          <w:sz w:val="28"/>
          <w:szCs w:val="28"/>
        </w:rPr>
        <w:t>供应商资格证明及评审所需材料</w:t>
      </w:r>
      <w:bookmarkEnd w:id="15"/>
      <w:bookmarkEnd w:id="16"/>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pPr>
        <w:pStyle w:val="14"/>
        <w:spacing w:line="360" w:lineRule="auto"/>
        <w:jc w:val="center"/>
        <w:rPr>
          <w:rStyle w:val="13"/>
          <w:rFonts w:ascii="仿宋" w:hAnsi="仿宋" w:eastAsia="仿宋" w:cs="仿宋"/>
          <w:b/>
          <w:bCs/>
          <w:kern w:val="0"/>
          <w:sz w:val="36"/>
          <w:szCs w:val="36"/>
        </w:rPr>
      </w:pPr>
    </w:p>
    <w:p>
      <w:pPr>
        <w:spacing w:line="340" w:lineRule="exact"/>
        <w:jc w:val="center"/>
        <w:rPr>
          <w:rStyle w:val="13"/>
          <w:rFonts w:ascii="仿宋" w:hAnsi="仿宋" w:eastAsia="仿宋" w:cs="仿宋"/>
          <w:b/>
          <w:sz w:val="36"/>
          <w:szCs w:val="36"/>
        </w:rPr>
      </w:pPr>
    </w:p>
    <w:p>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3"/>
          <w:rFonts w:ascii="仿宋" w:hAnsi="仿宋" w:eastAsia="仿宋" w:cs="仿宋"/>
          <w:b/>
          <w:sz w:val="28"/>
          <w:szCs w:val="28"/>
        </w:rPr>
      </w:pPr>
      <w:bookmarkStart w:id="17" w:name="_Toc9477"/>
      <w:r>
        <w:rPr>
          <w:rStyle w:val="13"/>
          <w:rFonts w:hint="eastAsia" w:ascii="仿宋" w:hAnsi="仿宋" w:eastAsia="仿宋" w:cs="仿宋"/>
          <w:b/>
          <w:sz w:val="28"/>
          <w:szCs w:val="28"/>
          <w:lang w:val="en-US"/>
        </w:rPr>
        <w:t>7.</w:t>
      </w:r>
      <w:r>
        <w:rPr>
          <w:rStyle w:val="13"/>
          <w:rFonts w:hint="eastAsia" w:ascii="仿宋" w:hAnsi="仿宋" w:eastAsia="仿宋" w:cs="仿宋"/>
          <w:b/>
          <w:sz w:val="28"/>
          <w:szCs w:val="28"/>
        </w:rPr>
        <w:t>其他资料</w:t>
      </w:r>
      <w:bookmarkEnd w:id="17"/>
    </w:p>
    <w:p>
      <w:pPr>
        <w:pStyle w:val="4"/>
        <w:jc w:val="center"/>
        <w:rPr>
          <w:rStyle w:val="13"/>
          <w:rFonts w:hint="eastAsia" w:ascii="仿宋_GB2312" w:hAnsi="仿宋_GB2312" w:eastAsia="仿宋_GB2312" w:cs="仿宋_GB2312"/>
          <w:bCs/>
          <w:kern w:val="0"/>
          <w:sz w:val="28"/>
          <w:szCs w:val="28"/>
        </w:rPr>
      </w:pPr>
      <w:r>
        <w:rPr>
          <w:rStyle w:val="13"/>
          <w:rFonts w:hint="eastAsia" w:ascii="仿宋_GB2312" w:hAnsi="仿宋_GB2312" w:eastAsia="仿宋_GB2312" w:cs="仿宋_GB2312"/>
          <w:bCs/>
          <w:kern w:val="0"/>
          <w:sz w:val="28"/>
          <w:szCs w:val="28"/>
        </w:rPr>
        <w:t>（供应商根据采购文件要求认为须提交的其他材料）</w:t>
      </w:r>
    </w:p>
    <w:p>
      <w:pPr>
        <w:rPr>
          <w:sz w:val="32"/>
          <w:szCs w:val="32"/>
        </w:rPr>
      </w:pPr>
    </w:p>
    <w:p>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pPr>
        <w:jc w:val="center"/>
        <w:outlineLvl w:val="0"/>
        <w:rPr>
          <w:rStyle w:val="13"/>
          <w:rFonts w:hint="eastAsia" w:ascii="仿宋" w:hAnsi="仿宋" w:eastAsia="仿宋" w:cs="仿宋"/>
          <w:b/>
          <w:sz w:val="28"/>
          <w:szCs w:val="28"/>
        </w:rPr>
      </w:pPr>
      <w:bookmarkStart w:id="18" w:name="_Toc27708"/>
      <w:r>
        <w:rPr>
          <w:rStyle w:val="13"/>
          <w:rFonts w:hint="eastAsia" w:ascii="仿宋" w:hAnsi="仿宋" w:eastAsia="仿宋" w:cs="仿宋"/>
          <w:b/>
          <w:sz w:val="28"/>
          <w:szCs w:val="28"/>
          <w:lang w:val="en-US"/>
        </w:rPr>
        <w:t>8.</w:t>
      </w:r>
      <w:r>
        <w:rPr>
          <w:rStyle w:val="13"/>
          <w:rFonts w:hint="eastAsia" w:ascii="仿宋" w:hAnsi="仿宋" w:eastAsia="仿宋" w:cs="仿宋"/>
          <w:b/>
          <w:sz w:val="28"/>
          <w:szCs w:val="28"/>
        </w:rPr>
        <w:t>采购需求中要求提供的方案及承诺等</w:t>
      </w:r>
      <w:bookmarkEnd w:id="18"/>
    </w:p>
    <w:p>
      <w:pPr>
        <w:pStyle w:val="4"/>
        <w:ind w:firstLine="0"/>
        <w:jc w:val="center"/>
        <w:rPr>
          <w:rStyle w:val="13"/>
          <w:rFonts w:ascii="仿宋" w:hAnsi="仿宋" w:eastAsia="仿宋" w:cs="仿宋"/>
          <w:bCs/>
          <w:kern w:val="0"/>
          <w:sz w:val="32"/>
          <w:szCs w:val="32"/>
        </w:rPr>
      </w:pPr>
      <w:r>
        <w:rPr>
          <w:rStyle w:val="13"/>
          <w:rFonts w:hint="eastAsia" w:ascii="仿宋" w:hAnsi="仿宋" w:eastAsia="仿宋" w:cs="仿宋"/>
          <w:bCs/>
          <w:kern w:val="0"/>
          <w:sz w:val="32"/>
          <w:szCs w:val="32"/>
        </w:rPr>
        <w:t>（供应商根据采购需求自拟）</w:t>
      </w:r>
    </w:p>
    <w:p>
      <w:pPr>
        <w:pStyle w:val="14"/>
        <w:spacing w:line="320" w:lineRule="exact"/>
        <w:rPr>
          <w:rStyle w:val="13"/>
          <w:rFonts w:ascii="仿宋" w:hAnsi="仿宋" w:eastAsia="仿宋" w:cs="仿宋"/>
          <w:b/>
          <w:kern w:val="0"/>
          <w:sz w:val="28"/>
          <w:szCs w:val="28"/>
        </w:rPr>
      </w:pPr>
    </w:p>
    <w:p>
      <w:pPr>
        <w:ind w:firstLine="560" w:firstLineChars="200"/>
        <w:rPr>
          <w:rFonts w:ascii="仿宋" w:hAnsi="仿宋" w:eastAsia="仿宋" w:cs="仿宋"/>
          <w:color w:val="000000" w:themeColor="text1"/>
          <w:sz w:val="28"/>
          <w:szCs w:val="28"/>
          <w14:textFill>
            <w14:solidFill>
              <w14:schemeClr w14:val="tx1"/>
            </w14:solidFill>
          </w14:textFill>
        </w:rPr>
      </w:pPr>
    </w:p>
    <w:p/>
    <w:p/>
    <w:p/>
    <w:p/>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txbxContent>
              </v:textbox>
            </v:shape>
          </w:pict>
        </mc:Fallback>
      </mc:AlternateContent>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3YmJlZjZiYzUyNDg4MzdlZTQxNmNjNDhmYzY0NjkifQ=="/>
  </w:docVars>
  <w:rsids>
    <w:rsidRoot w:val="2A9F7BD6"/>
    <w:rsid w:val="04927784"/>
    <w:rsid w:val="197A5801"/>
    <w:rsid w:val="20175C2F"/>
    <w:rsid w:val="2A9F7BD6"/>
    <w:rsid w:val="490A0A91"/>
    <w:rsid w:val="5EDD58CE"/>
    <w:rsid w:val="7CA414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qFormat/>
    <w:uiPriority w:val="0"/>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13">
    <w:name w:val="NormalCharacter"/>
    <w:semiHidden/>
    <w:qFormat/>
    <w:uiPriority w:val="0"/>
    <w:rPr>
      <w:rFonts w:asciiTheme="minorHAnsi" w:hAnsiTheme="minorHAnsi" w:eastAsiaTheme="minorEastAsia" w:cstheme="minorBidi"/>
      <w:kern w:val="2"/>
      <w:sz w:val="21"/>
      <w:szCs w:val="24"/>
      <w:lang w:val="en-US" w:eastAsia="zh-CN" w:bidi="ar-SA"/>
    </w:rPr>
  </w:style>
  <w:style w:type="paragraph" w:customStyle="1" w:styleId="14">
    <w:name w:val="BodyText"/>
    <w:basedOn w:val="1"/>
    <w:next w:val="15"/>
    <w:qFormat/>
    <w:uiPriority w:val="0"/>
    <w:pPr>
      <w:spacing w:after="120"/>
      <w:jc w:val="left"/>
      <w:textAlignment w:val="baseline"/>
    </w:pPr>
    <w:rPr>
      <w:rFonts w:ascii="Calibri" w:hAnsi="Calibri"/>
      <w:kern w:val="0"/>
      <w:sz w:val="22"/>
      <w:szCs w:val="22"/>
    </w:rPr>
  </w:style>
  <w:style w:type="paragraph" w:customStyle="1" w:styleId="15">
    <w:name w:val="TOC2"/>
    <w:basedOn w:val="1"/>
    <w:next w:val="1"/>
    <w:qFormat/>
    <w:uiPriority w:val="0"/>
    <w:pPr>
      <w:ind w:left="210"/>
      <w:jc w:val="left"/>
    </w:pPr>
    <w:rPr>
      <w:smallCaps/>
      <w:kern w:val="1"/>
      <w:sz w:val="28"/>
      <w:szCs w:val="24"/>
    </w:rPr>
  </w:style>
  <w:style w:type="character" w:customStyle="1" w:styleId="16">
    <w:name w:val="font61"/>
    <w:basedOn w:val="12"/>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1741</Words>
  <Characters>1901</Characters>
  <Lines>0</Lines>
  <Paragraphs>0</Paragraphs>
  <TotalTime>1</TotalTime>
  <ScaleCrop>false</ScaleCrop>
  <LinksUpToDate>false</LinksUpToDate>
  <CharactersWithSpaces>2561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ASUS</cp:lastModifiedBy>
  <dcterms:modified xsi:type="dcterms:W3CDTF">2026-06-04T01:53:40Z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E45D34F9E7964823B0A0BDC41196F89E_11</vt:lpwstr>
  </property>
  <property fmtid="{D5CDD505-2E9C-101B-9397-08002B2CF9AE}" pid="4" name="KSOTemplateDocerSaveRecord">
    <vt:lpwstr>eyJoZGlkIjoiMGViOTUyYjdlZDU3ZWJhZGFiNThkMTNkZDFkYWJkZDgiLCJ1c2VySWQiOiIxNzY2MTEzNjM1In0=</vt:lpwstr>
  </property>
</Properties>
</file>