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D009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643" w:firstLineChars="200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kern w:val="0"/>
          <w:sz w:val="32"/>
          <w:szCs w:val="20"/>
          <w:highlight w:val="none"/>
          <w:lang/>
        </w:rPr>
      </w:pPr>
      <w:bookmarkStart w:id="0" w:name="_GoBack"/>
      <w:r>
        <w:rPr>
          <w:rFonts w:hint="eastAsia" w:ascii="Times New Roman" w:hAnsi="Times New Roman" w:eastAsia="宋体" w:cs="Times New Roman"/>
          <w:b/>
          <w:kern w:val="0"/>
          <w:sz w:val="32"/>
          <w:szCs w:val="20"/>
          <w:highlight w:val="none"/>
          <w:lang/>
        </w:rPr>
        <w:t>寿</w:t>
      </w:r>
      <w:r>
        <w:rPr>
          <w:rFonts w:hint="eastAsia" w:ascii="Times New Roman" w:hAnsi="Times New Roman" w:eastAsia="宋体" w:cs="Times New Roman"/>
          <w:b/>
          <w:kern w:val="0"/>
          <w:sz w:val="32"/>
          <w:szCs w:val="20"/>
          <w:highlight w:val="none"/>
          <w:lang w:eastAsia="zh-CN"/>
        </w:rPr>
        <w:t>县游客集散中心周边区域</w:t>
      </w:r>
      <w:r>
        <w:rPr>
          <w:rFonts w:hint="eastAsia" w:ascii="Times New Roman" w:hAnsi="Times New Roman" w:eastAsia="宋体" w:cs="Times New Roman"/>
          <w:b/>
          <w:kern w:val="0"/>
          <w:sz w:val="32"/>
          <w:szCs w:val="20"/>
          <w:highlight w:val="none"/>
          <w:lang/>
        </w:rPr>
        <w:t>种植向日葵服务项目</w:t>
      </w:r>
    </w:p>
    <w:p w14:paraId="3D6B8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643" w:firstLineChars="200"/>
        <w:jc w:val="center"/>
        <w:textAlignment w:val="auto"/>
        <w:outlineLvl w:val="0"/>
        <w:rPr>
          <w:rFonts w:hint="eastAsia" w:ascii="Times New Roman" w:hAnsi="Times New Roman" w:eastAsia="宋体" w:cs="Times New Roman"/>
          <w:b/>
          <w:kern w:val="0"/>
          <w:sz w:val="32"/>
          <w:szCs w:val="20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kern w:val="0"/>
          <w:sz w:val="32"/>
          <w:szCs w:val="20"/>
          <w:highlight w:val="none"/>
          <w:lang w:val="en-US" w:eastAsia="zh-CN"/>
        </w:rPr>
        <w:t>采购需求</w:t>
      </w:r>
    </w:p>
    <w:bookmarkEnd w:id="0"/>
    <w:p w14:paraId="208BE5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2" w:firstLineChars="200"/>
        <w:jc w:val="both"/>
        <w:textAlignment w:val="auto"/>
        <w:outlineLvl w:val="0"/>
        <w:rPr>
          <w:rFonts w:hint="eastAsia"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/>
        </w:rPr>
      </w:pPr>
    </w:p>
    <w:p w14:paraId="358ACB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2" w:firstLineChars="200"/>
        <w:jc w:val="both"/>
        <w:textAlignment w:val="auto"/>
        <w:outlineLvl w:val="0"/>
        <w:rPr>
          <w:rFonts w:hint="default"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kern w:val="0"/>
          <w:sz w:val="24"/>
          <w:szCs w:val="24"/>
          <w:highlight w:val="none"/>
          <w:lang w:val="en-US" w:eastAsia="zh-CN"/>
        </w:rPr>
        <w:t>提示：本次种植面积约为55亩，每亩最高限价1800元，各潜在供应商在报价时，应按每亩进行报价。最后结算以实际种植亩数为主。</w:t>
      </w:r>
    </w:p>
    <w:p w14:paraId="7E8BEA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outlineLvl w:val="0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一、总体种植质量要求</w:t>
      </w:r>
    </w:p>
    <w:p w14:paraId="176063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1. 品种要求：须选用正规审定杂交矮杆油葵品种，要求早熟、抗倒伏、抗病性强、结实率高、空壳率低、出油率高，株高控制在 100–120cm。</w:t>
      </w:r>
    </w:p>
    <w:p w14:paraId="654C6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整体成活率≥95%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无连片断垄、大面积死苗、 弱苗地块，缺苗需及时补栽到位。</w:t>
      </w:r>
    </w:p>
    <w:p w14:paraId="3AB75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3.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田间长势整齐，无大面积病虫害、无严重倒伏、无花盘腐烂、空壳减产等管护问题。</w:t>
      </w:r>
    </w:p>
    <w:p w14:paraId="101279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4.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采收籽粒品质达标，无霉变、发黑、高含水、大量杂质等质量问题，满足常规储存及销售标准。</w:t>
      </w:r>
    </w:p>
    <w:p w14:paraId="4B8AB3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5.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田间杂草常态化管控，全程杜绝草荒、杂草抢肥遮光，杂草高度不得超过 5cm，保证田间干净通透，无成片杂草滋生。</w:t>
      </w:r>
    </w:p>
    <w:p w14:paraId="6C95F3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6.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所有施工流程规范合规，杜绝偷工减料、违规操作、滞后管护等问题。</w:t>
      </w:r>
    </w:p>
    <w:p w14:paraId="55C6B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7.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种植备用及补植要求：乙方需额外预备足量的健壮幼苗同步移植培育，作为后期田间缺苗、死苗、弱苗替换补植专用备用苗，全程保障大田最终成活率稳定≥95%，备用苗培育、管护、补植产生的所有费用均包含在中标包干价内</w:t>
      </w:r>
    </w:p>
    <w:p w14:paraId="3A229B9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核心施工内容及基本标准</w:t>
      </w:r>
    </w:p>
    <w:p w14:paraId="6AC23754"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田地整理作业</w:t>
      </w:r>
    </w:p>
    <w:p w14:paraId="207392F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清田除杂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彻底清除田间油菜残秆、残根、杂草及地头、田埂边角杂物，地块干净无残留，杜绝病源、虫源滋生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。</w:t>
      </w:r>
    </w:p>
    <w:p w14:paraId="177823D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2.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旋耕整地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旋耕 2 遍，耕深 25 -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30cm，土壤疏松细碎、垄面平整，无大块土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块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，满足移栽条件。</w:t>
      </w:r>
    </w:p>
    <w:p w14:paraId="34F8157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3.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底肥施用：统一施用合规 45%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硫酸钾复合肥、腐熟农家肥及农用硼砂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，施肥时将肥料与土壤充分拌匀，严禁肥料集中堆积造成烧根；重点补充硼元素，防治向日葵空壳、不结籽问题。每亩最低施用：45%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硫酸钾复合肥 40kg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、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腐熟农家肥 800kg 、农用硼砂1kg。</w:t>
      </w:r>
    </w:p>
    <w:p w14:paraId="705084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4 .起垄开沟：垄面宽度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1.2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米，土壤整平耙细；垄沟、腰沟、围沟统一设置为宽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0cm、深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25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-3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cm，每5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-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6亩布设一条横向腰沟。确保三沟走向顺直、全程畅通，无淤泥堵塞、无断沟现象，做到小雨不积水、大雨快速排水，有效防止苗木沤根烂苗。</w:t>
      </w:r>
    </w:p>
    <w:p w14:paraId="7F2829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outlineLvl w:val="1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（二）幼苗移栽作业</w:t>
      </w:r>
    </w:p>
    <w:p w14:paraId="5A8D17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1.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移栽时段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仅限傍晚或阴天移栽，严禁正午高温暴晒栽苗，规避高温死苗。</w:t>
      </w:r>
    </w:p>
    <w:p w14:paraId="5BB2425B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选苗标准：优先选用具备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4-5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片真叶、株高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≥10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cm茎秆粗短敦实且根系带完整土坨的壮苗，剔除徒长苗、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细弱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苗及带病苗，保障幼苗缓苗成活。</w:t>
      </w:r>
    </w:p>
    <w:p w14:paraId="7BF71257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定植密度：油用型矮杆向日葵：行距 55cm，株距 40cm，每亩定植约3000株。</w:t>
      </w:r>
    </w:p>
    <w:p w14:paraId="1A6C33B1"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移栽管护：带土移栽、浅栽压实、浇透定根水，移栽后常态化巡查补苗，保障田间全苗。</w:t>
      </w:r>
    </w:p>
    <w:p w14:paraId="57F29B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outlineLvl w:val="1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（三）生长期全程管护</w:t>
      </w:r>
    </w:p>
    <w:p w14:paraId="3DA0D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1.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苗期管护</w:t>
      </w:r>
    </w:p>
    <w:p w14:paraId="2AC2EA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水分管理</w:t>
      </w:r>
    </w:p>
    <w:p w14:paraId="000838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移栽后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1-7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天缓苗期保持土壤湿润通透，不干裂、不积水，无降雨天气需傍晚少量润水、只润根不漫灌。雨季降雨后 2 小时内疏通三沟、清淤保畅，严防积水沤根死苗。连续晴天干旱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5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天以上，于傍晚低温时段小水补灌，只灌垄底、不淹垄面，灌水后无积水，严禁正午高温浇水造成僵苗、炸根。</w:t>
      </w:r>
    </w:p>
    <w:p w14:paraId="3DB821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（2）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苗期追肥</w:t>
      </w:r>
    </w:p>
    <w:p w14:paraId="597E9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移栽后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7-10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天、幼苗完全缓苗展叶后方可追肥，每亩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可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施用尿素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约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8-10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kg，大田均匀撒施。选择晴天无风早晚时段作业，可薄土覆盖保肥防烧苗。针对弱小、发黄缓苗慢的区块，每亩补施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约 3-4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kg尿素专项提苗，确保田间长势整齐。苗期严禁施用复合肥、高浓度钾肥，严禁积水、高温时段施肥。</w:t>
      </w:r>
    </w:p>
    <w:p w14:paraId="3757EC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3）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苗期除草管理</w:t>
      </w:r>
    </w:p>
    <w:p w14:paraId="7772A2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苗期严格管控杂草，杂草高度不得超过 5cm，及时全域清除苗周、行间、垄边及田埂杂草，除草作业轻操作、不松动苗根、不损伤茎叶。苗期全程采用人工除草，禁止使用苗后除草剂，杜绝药害影响幼苗生长。</w:t>
      </w:r>
    </w:p>
    <w:p w14:paraId="2C91BA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现蕾期管护</w:t>
      </w:r>
    </w:p>
    <w:p w14:paraId="51F7A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（1）追肥管理</w:t>
      </w:r>
    </w:p>
    <w:p w14:paraId="4785BC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田间 60%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植株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1-2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cm花蕾时统一追肥，采用根部穴施，距根部 10cm 、穴深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8-10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cm ，施肥后及时覆土压实，禁止肥根直接接触及表面撒施。根据长势差异化追肥：弱苗适度增施 20%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用量，旺苗控氮增钾、控旺壮秆。</w:t>
      </w:r>
    </w:p>
    <w:p w14:paraId="26C29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叶面补肥管理</w:t>
      </w:r>
    </w:p>
    <w:p w14:paraId="2A083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针对缺硼、花盘小、空壳瘪粒问题开展叶面补肥，每亩 用磷酸二氢钾 100g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+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流体硼 20ml，兑水 30 斤均匀喷施。要求：间隔 7 天喷施 1 次，连续 2 次；选择早晚无风无雨时段喷施，保证叶片正反面均匀着药。通过补硼促花芽分化，减少花而不实、空壳瘪粒现象，提升籽粒饱满度。</w:t>
      </w:r>
    </w:p>
    <w:p w14:paraId="62219D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3）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控水防涝管理</w:t>
      </w:r>
    </w:p>
    <w:p w14:paraId="1ECC7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全程做好雨季防涝排水，暴雨前提前疏通三沟、清理淤堵杂物；雨后 1 小时内排查积水，确保沟渠畅通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田间积水 滞留不超 24 小时，杜绝烂根死苗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日常保持土壤干湿交替，连续无雨 10 天以上可傍晚小水补墒，严禁大水漫灌泡根。</w:t>
      </w:r>
    </w:p>
    <w:p w14:paraId="75F58CA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3.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花期管护</w:t>
      </w:r>
    </w:p>
    <w:p w14:paraId="54B739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水分管控</w:t>
      </w:r>
    </w:p>
    <w:p w14:paraId="0D8110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花期严格控水，全程禁止大水漫灌，保持土壤表层微干、下层湿润。轻度干旱无需补水，仅重度干旱时对行间小水润墒，严禁浇灌花盘，避免花盘积水霉变。杜绝土壤长期过湿，防止花粉失活、授粉失败，降低植株空壳率。</w:t>
      </w:r>
    </w:p>
    <w:p w14:paraId="6C539A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2）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授粉保护管理</w:t>
      </w:r>
    </w:p>
    <w:p w14:paraId="06217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大田花期全程严禁喷施高毒、刺激性农药及浓药复配药剂。保留田间自然杂草花丛，为蜜蜂、食蚜蝇等授粉昆虫提供栖息环境，保障自然授粉效率。严禁人员频繁进入田间踩踏、晃动植株，避免花粉脱落，影响授粉效果。</w:t>
      </w:r>
    </w:p>
    <w:p w14:paraId="2A161B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阴雨天气防控</w:t>
      </w:r>
    </w:p>
    <w:p w14:paraId="1CB19F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遇连续阴雨天气，雨停后第一时间疏通田间沟渠，彻底排清积水；及时梳理稠密枝叶，提升田间通风透光条件，加速花盘、叶片水分蒸发，防范花盘腐烂、白粉病、叶斑病等病害爆发。阴雨结束后 3 日内，可采用低浓度保护性杀菌剂开展预防性喷施作业。</w:t>
      </w:r>
    </w:p>
    <w:p w14:paraId="73E327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精准虫害管控</w:t>
      </w:r>
    </w:p>
    <w:p w14:paraId="204A38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花期实行精准、局部虫害治理，仅针对爆发性蚜虫点位开展防治。采用低浓度吡虫啉对虫害区域单点轻喷，仅喷施受害部位，严禁喷洒花盘及花蕊，最大限度保护授粉环境，保障授粉工作正常开展。</w:t>
      </w:r>
    </w:p>
    <w:p w14:paraId="19EF052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4.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膨果成熟期管护</w:t>
      </w:r>
    </w:p>
    <w:p w14:paraId="00DA9D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（1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肥料管控</w:t>
      </w:r>
    </w:p>
    <w:p w14:paraId="5848EB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膨果成熟期全程禁止施用氮肥，杜绝植株贪青徒长、茎秆细软、籽粒干瘪、成熟期延迟等情况。针对田间长势偏弱的植株，可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追加叶面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肥，补充植株养分，促进籽粒饱满成熟。</w:t>
      </w:r>
    </w:p>
    <w:p w14:paraId="07D3B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（2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水分管控</w:t>
      </w:r>
    </w:p>
    <w:p w14:paraId="26B87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遵循“前湿后干”的控水原则，保持土壤墒情稳定。膨果前期维持土壤微润状态，成熟前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10-15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天严格控水，严禁浇水、漫灌，加速籽粒脱水定型与干物质积累，提升作物品质及产量。</w:t>
      </w:r>
    </w:p>
    <w:p w14:paraId="23A7AB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（3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田间管护</w:t>
      </w:r>
    </w:p>
    <w:p w14:paraId="4D8686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落实日常田间巡查工作，及时清除植株底部枯黄、发病、残损叶片，优化田间通风透光条件，减少无效养分消耗，规避高温高湿环境引发的花盘霉变、烂籽等病虫害。</w:t>
      </w:r>
    </w:p>
    <w:p w14:paraId="07A9D1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（4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抗倒伏防护</w:t>
      </w:r>
    </w:p>
    <w:p w14:paraId="23427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植株进入成熟阶段后，针对花盘增重易倒伏问题，重点排查田间植株长势，及时加固培土、搭设支架，筑牢植株根基，有效防范大风天气造成的茎秆弯折、植株倒伏，保障稳产增收。</w:t>
      </w:r>
    </w:p>
    <w:p w14:paraId="405F5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outlineLvl w:val="1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四）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病虫害防控</w:t>
      </w:r>
    </w:p>
    <w:p w14:paraId="497BB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结合夏季高温高湿气候及油菜茬地块病虫特点，分阶段开展预防工作：重点做好苗期防虫、现蕾期病虫双防、雨后防病、花盘膨大期防烂盘蛀籽，按时、按量规范施药，杜绝大面积病虫爆发导致减产、品质下降。</w:t>
      </w:r>
    </w:p>
    <w:p w14:paraId="01370B2E"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苗期防虫：重点防控地老虎、蚜虫，可采用高氯·吡虫啉低毒水乳剂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或其他药剂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，移栽成活 10 天后首次喷施，间隔 10 天复喷一次，重点喷施幼苗叶片及根部土表，杜绝幼苗断苗、卷叶、萎蔫死苗。</w:t>
      </w:r>
    </w:p>
    <w:p w14:paraId="13F135C1"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现蕾期病虫双防：为病虫害高危爆发期，针对锈病、叶斑病、葵螟、蚜虫，可使用苯醚甲环唑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+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氯虫苯甲酰胺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+吡虫啉复配药剂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或其他药剂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，每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10-12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天喷施一次，连续喷施 2 次，预防叶片早衰、花盘烂心、空壳烂籽问题。</w:t>
      </w:r>
    </w:p>
    <w:p w14:paraId="517B1264"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雨后防病：每次大雨结束后 24 -72 小时内，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必须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喷施戊唑醇、苯醚甲环唑等广谱杀菌剂，无论田间是否显现病虫害，均需统一预防，杜绝雨后锈病、盘腐病、细菌性烂叶爆发。</w:t>
      </w:r>
    </w:p>
    <w:p w14:paraId="2FB6076B"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开花授粉期精准防控：盛花期严禁喷施高毒、刺激性农药及浓药复配，保护授粉昆虫与花蕊；仅在蚜虫高发时，用极低浓度吡虫啉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等其他药剂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单点针对性轻喷，禁止喷施花盘、花蕊，保障正常授粉，杜绝大面积空壳。</w:t>
      </w:r>
    </w:p>
    <w:p w14:paraId="438F529D"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花盘膨大期防控：成熟前，重点防控葵螟蛀籽、花盘软腐病、盘腐病，采用氯虫苯甲酰胺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+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嘧菌酯喷施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或其他药剂喷施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，防止害虫蛀食籽粒、花盘发霉腐烂，保障产量及籽粒品质。</w:t>
      </w:r>
    </w:p>
    <w:p w14:paraId="24B68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outlineLvl w:val="1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（五）抗倒伏管护</w:t>
      </w:r>
    </w:p>
    <w:p w14:paraId="471C9D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按苗期、现蕾期、花期、成熟期分阶段做好控水、控肥、培土、支架加固等抗倒伏工作，大风暴雨后及时补救，杜绝大面积植株倒伏、弯折减产：</w:t>
      </w:r>
    </w:p>
    <w:p w14:paraId="579FD10A">
      <w:pPr>
        <w:keepNext w:val="0"/>
        <w:keepLines w:val="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苗期抗倒伏：科学管控水肥，严控氮肥用量，禁止大水大肥催苗；采用干湿交替炼苗促根，促进根系深扎；严格按标准密度定植，保证田间通风透光，防止植株徒长细弱。</w:t>
      </w:r>
    </w:p>
    <w:p w14:paraId="65B353DC">
      <w:pPr>
        <w:keepNext w:val="0"/>
        <w:keepLines w:val="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现蕾期抗倒伏：分两次完成规范培土，现蕾前期浅培土、现蕾盛期加厚培土，夯实植株根基；停施氮肥、增施钾肥、硼肥，强化茎秆韧性；全程保持三沟畅通，避免土壤松软根系不稳。</w:t>
      </w:r>
    </w:p>
    <w:p w14:paraId="0D42D996">
      <w:pPr>
        <w:keepNext w:val="0"/>
        <w:keepLines w:val="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抗倒伏防护：油用矮杆品种以培土固根为主，支撑</w:t>
      </w:r>
    </w:p>
    <w:p w14:paraId="288A1A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防护为辅，保障整体抗风能力。</w:t>
      </w:r>
    </w:p>
    <w:p w14:paraId="20F9EB25">
      <w:pPr>
        <w:keepNext w:val="0"/>
        <w:keepLines w:val="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花后成熟期管控：开花至成熟全程停止氮肥施用，严控大水漫灌；风雨天气前提前巡查加固培土及支架，保持田 间土壤干湿均衡，杜绝根系泡水导致倒伏。</w:t>
      </w:r>
    </w:p>
    <w:p w14:paraId="21F66389">
      <w:pPr>
        <w:keepNext w:val="0"/>
        <w:keepLines w:val="0"/>
        <w:pageBreakBefore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灾害后应急补救：大风、暴雨过后 24 小时内完成倒伏植株轻柔扶正、培土压实；3 日内完成防病、叶面补肥修复，及时恢复长势，最大限度降低灾害减产。</w:t>
      </w:r>
    </w:p>
    <w:p w14:paraId="678A1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outlineLvl w:val="1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（六）采收、晾晒及储存管护</w:t>
      </w:r>
    </w:p>
    <w:p w14:paraId="09B46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乙方负责本项目向日葵成熟后的全部采收、晾晒、脱粒、筛选、入库储存工作：</w:t>
      </w:r>
    </w:p>
    <w:p w14:paraId="4431F4A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1.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成熟期须三项条件同时达标方可采收：花盘完全干枯发黄、无韧性；植株中下部叶片全部枯黄、植株停止生长；籽粒坚硬饱满、无青粒、软粒、浆液。达标后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3-5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天为最佳采收期，严禁过早采收、过熟采收，避免籽粒不饱满或大风掉粒、鸟啄减产。</w:t>
      </w:r>
    </w:p>
    <w:p w14:paraId="776C6F3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采收作业要求：仅晴天白天干燥时段采收，严禁露水天、阴雨天、潮湿地块带湿采收；采用规范人工收割方式，整齐堆放、避免碾压掉粒。</w:t>
      </w:r>
    </w:p>
    <w:p w14:paraId="5D47C8C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3.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晾晒与脱粒要求：花盘在干净通风场地单层平铺晾晒，严控堆积厚度，定时翻动，确保干燥均匀；必须完全干透后方可机械低速脱粒，杜绝半干脱粒；脱粒后及时过筛清理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彻底去除秸秆、碎壳、瘪粒、砂石等杂质，保留饱满籽粒。</w:t>
      </w:r>
    </w:p>
    <w:p w14:paraId="61C73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三、监管及扣罚规则</w:t>
      </w:r>
    </w:p>
    <w:p w14:paraId="02748D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总则：同一地块单次巡查多项违规累计扣款最高 350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元/亩；单亩整个种植周期累计扣款总额不超过 900 元；所有违规乙方均需限期无偿整改，造成苗木死亡、减产的另行赔偿实际损失。</w:t>
      </w:r>
    </w:p>
    <w:p w14:paraId="7E9C8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（一）施肥监管</w:t>
      </w:r>
    </w:p>
    <w:p w14:paraId="08F53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合格标准：严格按规范配比施用复合肥、农家肥及硼砂，肥土充分翻埋混合，无肥料裸露、堆积、漏施，保障向日葵正常生长，杜绝缺素空壳、烧根死苗问题。</w:t>
      </w:r>
    </w:p>
    <w:p w14:paraId="56206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扣罚要求</w:t>
      </w:r>
    </w:p>
    <w:p w14:paraId="722D21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1.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漏施、少施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120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/次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；</w:t>
      </w:r>
    </w:p>
    <w:p w14:paraId="458066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肥料未翻埋、表层堆积、局部偏施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80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/次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，由乙方无偿补肥、补苗；</w:t>
      </w:r>
    </w:p>
    <w:p w14:paraId="2CEF2E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（二）杂草清理监管</w:t>
      </w:r>
    </w:p>
    <w:p w14:paraId="5F457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合格标准：全程常态化除草，田间、垄间、植株周边、田埂无成片杂草，杂草高度严格控制在 5cm 以内，无杂草抢肥、遮光、捂苗情况，杜绝草荒。</w:t>
      </w:r>
    </w:p>
    <w:p w14:paraId="364790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扣罚要求</w:t>
      </w:r>
    </w:p>
    <w:p w14:paraId="19ECE3E9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1.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田间杂草高度超 5cm 、未及时人工清除，存在杂草抢肥捂苗现象，扣罚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50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元/亩/次；</w:t>
      </w:r>
    </w:p>
    <w:p w14:paraId="58BFB9D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2. 私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自喷施除草剂造成药害，植株生长受损，并扣罚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120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/次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。</w:t>
      </w:r>
    </w:p>
    <w:p w14:paraId="070B8B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（三）起垄开沟监管</w:t>
      </w:r>
    </w:p>
    <w:p w14:paraId="3940EF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合格标准：按标准规格起垄、开挖三沟，垄面平整规整，沟渠宽窄、深度达标，三沟畅通无堵塞，可实现小雨不积水、大雨速排，杜绝田间积水沤根。</w:t>
      </w:r>
    </w:p>
    <w:p w14:paraId="255738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扣罚要求</w:t>
      </w:r>
    </w:p>
    <w:p w14:paraId="70AC341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1.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垄型不规整、高低宽窄不一，扣罚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70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元/亩，限期无偿整改；</w:t>
      </w:r>
    </w:p>
    <w:p w14:paraId="1D02B86A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沟渠规格不达标、漏开腰沟、围沟，雨后田间积水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110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元/亩；</w:t>
      </w:r>
    </w:p>
    <w:p w14:paraId="3283ADE2">
      <w:pPr>
        <w:keepNext w:val="0"/>
        <w:keepLines w:val="0"/>
        <w:pageBreakBefore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因排水不畅导致烂根、死苗，扣罚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180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。</w:t>
      </w:r>
    </w:p>
    <w:p w14:paraId="2DB9A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（四）病虫害防治监管</w:t>
      </w:r>
    </w:p>
    <w:p w14:paraId="1FF3C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合格标准：严格按照分阶段防控要求按时、按量规范施药，提前预防各类病虫害，雨后强制防病，杜绝病虫大面积爆发，保障植株正常生长、无烂盘、蛀籽、早衰减产问题。</w:t>
      </w:r>
    </w:p>
    <w:p w14:paraId="0B69F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扣罚要求</w:t>
      </w:r>
    </w:p>
    <w:p w14:paraId="6FBAA7A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1.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苗期未按时防虫，引发地老虎、蚜虫大面积爆发，造成断苗、卷叶萎蔫，扣罚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70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元/亩，无偿补苗；</w:t>
      </w:r>
    </w:p>
    <w:p w14:paraId="708F7F4C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现蕾期未落实病虫双防，引发葵螟、锈病、叶斑病大面积爆发，扣罚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110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元/亩；</w:t>
      </w:r>
    </w:p>
    <w:p w14:paraId="1E73B06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3.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大雨后 24 -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72 小时未按时防病，引发盘腐病、烂叶、病害蔓延，扣罚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150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元/亩；</w:t>
      </w:r>
    </w:p>
    <w:p w14:paraId="3F9C1C0E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4.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花盘膨大期未防虫，出现蛀籽、烂盘问题造成减产，</w:t>
      </w:r>
    </w:p>
    <w:p w14:paraId="31564C3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150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元/亩。</w:t>
      </w:r>
    </w:p>
    <w:p w14:paraId="2611E19F">
      <w:pPr>
        <w:keepNext w:val="0"/>
        <w:keepLines w:val="0"/>
        <w:pageBreakBefore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抗倒伏监管</w:t>
      </w:r>
    </w:p>
    <w:p w14:paraId="4A333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合格标准：按苗期、现蕾期、成熟期各节点落实控水、控肥、分级培土、支架防护等措施，大风暴雨后及时补救，杜绝大面积植株弯折、倒伏减产。</w:t>
      </w:r>
    </w:p>
    <w:p w14:paraId="11DFB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扣罚要求</w:t>
      </w:r>
    </w:p>
    <w:p w14:paraId="562CECCE">
      <w:pPr>
        <w:keepNext w:val="0"/>
        <w:keepLines w:val="0"/>
        <w:pageBreakBefore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未按标准节点、厚度培土，根基稳固性不足引发倒伏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eastAsia="zh-CN"/>
        </w:rPr>
        <w:t>；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70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元/亩。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</w:t>
      </w:r>
    </w:p>
    <w:p w14:paraId="0C91C695">
      <w:pPr>
        <w:keepNext w:val="0"/>
        <w:keepLines w:val="0"/>
        <w:pageBreakBefore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风雨灾害后未及时扶正、培土补救，放任减产，追</w:t>
      </w:r>
    </w:p>
    <w:p w14:paraId="5A1F6D7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70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元/亩。</w:t>
      </w:r>
    </w:p>
    <w:p w14:paraId="2F4DA3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（六）成活率监管</w:t>
      </w:r>
    </w:p>
    <w:p w14:paraId="0E93A4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合格标准：移栽缓苗完成后，大田整体成活率≥95% ，无连片缺苗、断垄、大面积弱苗僵苗，缺苗及时补植到位。</w:t>
      </w:r>
    </w:p>
    <w:p w14:paraId="44B497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扣罚要求：</w:t>
      </w:r>
    </w:p>
    <w:p w14:paraId="0EFFB25E">
      <w:pPr>
        <w:keepNext w:val="0"/>
        <w:keepLines w:val="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成活率 90% –95% （不含 95%）：扣罚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100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元/亩，乙方须无偿补苗至合格标准；</w:t>
      </w:r>
    </w:p>
    <w:p w14:paraId="5E36A994">
      <w:pPr>
        <w:keepNext w:val="0"/>
        <w:keepLines w:val="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成活率 80% –90% （不含 90%）：扣罚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200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 xml:space="preserve"> 元/亩，乙方须全额无偿补苗到位；</w:t>
      </w:r>
    </w:p>
    <w:p w14:paraId="2CD131CD">
      <w:pPr>
        <w:keepNext w:val="0"/>
        <w:keepLines w:val="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成活率低于 80%：属于严重施工违约，甲方有权单方面终止对应地块施工，扣除该地块当期对应工程款，所有地块整改、重新移栽产生的全部费用由乙方全权承担；</w:t>
      </w:r>
    </w:p>
    <w:p w14:paraId="49104354">
      <w:pPr>
        <w:keepNext w:val="0"/>
        <w:keepLines w:val="0"/>
        <w:pageBreakBefore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田间出现连片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5 平方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米以上断垄空苗，每处额外扣罚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 50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元，乙方须 24 小时内完成补栽整改。</w:t>
      </w:r>
    </w:p>
    <w:p w14:paraId="0083B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四、其他要求</w:t>
      </w:r>
    </w:p>
    <w:p w14:paraId="5BAB5D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1.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乙方须严格按照本采购需求及规范流程施工，服从甲方现场监管、验收及整改要求。</w:t>
      </w:r>
    </w:p>
    <w:p w14:paraId="47404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施工全过程做好安全生产、田间保洁，杜绝违规作业、环境污染、作物损伤等问题。</w:t>
      </w:r>
    </w:p>
    <w:p w14:paraId="0EAFA4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 xml:space="preserve">3. 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本项目为整体种植服务包干，包含人工、机械、常规药剂、水肥管护、采收晾晒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及税金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/>
        </w:rPr>
        <w:t>等全部相关费用，甲方不另行追加费用。</w:t>
      </w:r>
    </w:p>
    <w:p w14:paraId="5E0F2B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480" w:firstLineChars="200"/>
        <w:textAlignment w:val="auto"/>
        <w:rPr>
          <w:rFonts w:hint="default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kern w:val="0"/>
          <w:sz w:val="24"/>
          <w:szCs w:val="20"/>
          <w:lang w:val="en-US" w:eastAsia="zh-CN"/>
        </w:rPr>
        <w:t>4. 花期：最佳观赏期为2026年9月23日（可前后浮动5日）开花率不低于种植面积的80%。低于此标准的，按合同价的10%予以扣除。开花率低于种植面积的60%，按合同价的20%予以扣除。</w:t>
      </w:r>
    </w:p>
    <w:p w14:paraId="233F765A">
      <w:pPr>
        <w:rPr>
          <w:rFonts w:ascii="Times New Roman" w:hAnsi="Times New Roman" w:eastAsia="宋体" w:cs="Times New Roman"/>
          <w:color w:val="000000"/>
          <w:kern w:val="0"/>
          <w:sz w:val="24"/>
          <w:szCs w:val="20"/>
          <w:lang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88DB20"/>
    <w:multiLevelType w:val="singleLevel"/>
    <w:tmpl w:val="A988DB2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A9CF84AE"/>
    <w:multiLevelType w:val="singleLevel"/>
    <w:tmpl w:val="A9CF84AE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D441062F"/>
    <w:multiLevelType w:val="singleLevel"/>
    <w:tmpl w:val="D441062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04633FC9"/>
    <w:multiLevelType w:val="singleLevel"/>
    <w:tmpl w:val="04633FC9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15A210AA"/>
    <w:multiLevelType w:val="singleLevel"/>
    <w:tmpl w:val="15A210AA"/>
    <w:lvl w:ilvl="0" w:tentative="0">
      <w:start w:val="2"/>
      <w:numFmt w:val="decimal"/>
      <w:suff w:val="space"/>
      <w:lvlText w:val="%1."/>
      <w:lvlJc w:val="left"/>
    </w:lvl>
  </w:abstractNum>
  <w:abstractNum w:abstractNumId="5">
    <w:nsid w:val="2EC21929"/>
    <w:multiLevelType w:val="singleLevel"/>
    <w:tmpl w:val="2EC21929"/>
    <w:lvl w:ilvl="0" w:tentative="0">
      <w:start w:val="5"/>
      <w:numFmt w:val="chineseCounting"/>
      <w:suff w:val="space"/>
      <w:lvlText w:val="（%1）"/>
      <w:lvlJc w:val="left"/>
      <w:rPr>
        <w:rFonts w:hint="eastAsia"/>
      </w:rPr>
    </w:lvl>
  </w:abstractNum>
  <w:abstractNum w:abstractNumId="6">
    <w:nsid w:val="4A338FB1"/>
    <w:multiLevelType w:val="singleLevel"/>
    <w:tmpl w:val="4A338FB1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6269C310"/>
    <w:multiLevelType w:val="singleLevel"/>
    <w:tmpl w:val="6269C310"/>
    <w:lvl w:ilvl="0" w:tentative="0">
      <w:start w:val="3"/>
      <w:numFmt w:val="decimal"/>
      <w:suff w:val="space"/>
      <w:lvlText w:val="%1."/>
      <w:lvlJc w:val="left"/>
    </w:lvl>
  </w:abstractNum>
  <w:abstractNum w:abstractNumId="8">
    <w:nsid w:val="6C55C297"/>
    <w:multiLevelType w:val="singleLevel"/>
    <w:tmpl w:val="6C55C297"/>
    <w:lvl w:ilvl="0" w:tentative="0">
      <w:start w:val="1"/>
      <w:numFmt w:val="chineseCounting"/>
      <w:suff w:val="space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5953DB"/>
    <w:rsid w:val="5C59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0"/>
    <w:pPr>
      <w:widowControl w:val="0"/>
      <w:spacing w:after="120" w:afterAutospacing="0" w:line="360" w:lineRule="auto"/>
      <w:ind w:firstLine="420" w:firstLineChars="200"/>
    </w:pPr>
    <w:rPr>
      <w:rFonts w:ascii="Times New Roman" w:hAnsi="Times New Roman" w:eastAsia="宋体" w:cs="Times New Roman"/>
      <w:sz w:val="24"/>
    </w:rPr>
  </w:style>
  <w:style w:type="paragraph" w:styleId="3">
    <w:name w:val="Title"/>
    <w:qFormat/>
    <w:uiPriority w:val="0"/>
    <w:pPr>
      <w:spacing w:before="240" w:beforeAutospacing="0" w:after="240" w:afterAutospacing="0" w:line="240" w:lineRule="auto"/>
      <w:jc w:val="center"/>
      <w:outlineLvl w:val="9"/>
    </w:pPr>
    <w:rPr>
      <w:rFonts w:ascii="Times New Roman" w:hAnsi="Times New Roman" w:eastAsia="宋体" w:cs="Times New Roman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2026-06-17T02:10:00Z</dcterms:created>
  <dc:creator>南山</dc:creator>
  <cp:lastModifiedBy>南山</cp:lastModifiedBy>
  <dcterms:modified xsi:type="dcterms:W3CDTF">2026-06-17T02:42:57Z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A039F9E0B8474A5299995A0F0B70B993_11</vt:lpwstr>
  </property>
  <property fmtid="{D5CDD505-2E9C-101B-9397-08002B2CF9AE}" pid="4" name="KSOTemplateDocerSaveRecord">
    <vt:lpwstr>eyJoZGlkIjoiMzUwMzM1MmJlODQ2MDUyMzA3OTI5Yzk1ZWVkM2I4NjAiLCJ1c2VySWQiOiIxODQ4NjMxMTc4In0=</vt:lpwstr>
  </property>
</Properties>
</file>