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B6E532">
      <w:pPr>
        <w:widowControl/>
        <w:shd w:val="clear" w:color="auto" w:fill="FFFFFF"/>
        <w:spacing w:line="600" w:lineRule="exact"/>
        <w:jc w:val="center"/>
        <w:outlineLvl w:val="2"/>
        <w:rPr>
          <w:rFonts w:hint="eastAsia" w:ascii="宋体" w:hAnsi="宋体" w:eastAsia="宋体" w:cs="宋体"/>
          <w:b/>
          <w:bCs/>
          <w:kern w:val="44"/>
          <w:sz w:val="44"/>
          <w:szCs w:val="44"/>
          <w:lang w:val="en-US" w:eastAsia="zh-CN"/>
        </w:rPr>
      </w:pPr>
      <w:r>
        <w:rPr>
          <w:rFonts w:hint="eastAsia" w:ascii="宋体" w:hAnsi="宋体" w:eastAsia="宋体" w:cs="宋体"/>
          <w:b/>
          <w:bCs/>
          <w:kern w:val="44"/>
          <w:sz w:val="44"/>
          <w:szCs w:val="44"/>
          <w:lang w:val="en-US" w:eastAsia="zh-CN"/>
        </w:rPr>
        <w:t>采购需求</w:t>
      </w:r>
    </w:p>
    <w:p w14:paraId="07836B84">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一、项目概况</w:t>
      </w:r>
    </w:p>
    <w:p w14:paraId="3FDD096B">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1. 项目名称：</w:t>
      </w:r>
      <w:r>
        <w:rPr>
          <w:rFonts w:hint="eastAsia" w:ascii="仿宋" w:hAnsi="仿宋" w:eastAsia="仿宋" w:cs="Arial"/>
          <w:kern w:val="0"/>
          <w:sz w:val="28"/>
          <w:szCs w:val="28"/>
          <w:u w:val="single"/>
          <w:lang w:eastAsia="zh-CN"/>
        </w:rPr>
        <w:t>淮南市寿县瓦埠湖千年古镇历史文化街区保护与利用工程项目（一期）EPCO</w:t>
      </w:r>
      <w:r>
        <w:rPr>
          <w:rFonts w:hint="default" w:ascii="仿宋" w:hAnsi="仿宋" w:eastAsia="仿宋" w:cs="仿宋"/>
          <w:color w:val="auto"/>
          <w:spacing w:val="2"/>
          <w:kern w:val="0"/>
          <w:sz w:val="28"/>
          <w:szCs w:val="28"/>
          <w:highlight w:val="none"/>
          <w:lang w:val="en-US" w:eastAsia="zh-CN"/>
        </w:rPr>
        <w:t xml:space="preserve"> 工程造价咨询服务</w:t>
      </w:r>
    </w:p>
    <w:p w14:paraId="17865570">
      <w:pPr>
        <w:widowControl/>
        <w:shd w:val="clear" w:color="auto" w:fill="FFFFFF"/>
        <w:ind w:firstLine="568" w:firstLineChars="200"/>
        <w:jc w:val="left"/>
        <w:rPr>
          <w:rFonts w:hint="eastAsia" w:ascii="仿宋" w:hAnsi="仿宋" w:eastAsia="仿宋" w:cs="仿宋"/>
          <w:color w:val="auto"/>
          <w:spacing w:val="2"/>
          <w:kern w:val="0"/>
          <w:sz w:val="28"/>
          <w:szCs w:val="28"/>
          <w:highlight w:val="none"/>
          <w:u w:val="single"/>
          <w:lang w:val="en-US" w:eastAsia="zh-CN"/>
        </w:rPr>
      </w:pPr>
      <w:r>
        <w:rPr>
          <w:rFonts w:hint="default" w:ascii="仿宋" w:hAnsi="仿宋" w:eastAsia="仿宋" w:cs="仿宋"/>
          <w:color w:val="auto"/>
          <w:spacing w:val="2"/>
          <w:kern w:val="0"/>
          <w:sz w:val="28"/>
          <w:szCs w:val="28"/>
          <w:highlight w:val="none"/>
          <w:lang w:val="en-US" w:eastAsia="zh-CN"/>
        </w:rPr>
        <w:t>2. 采购人：</w:t>
      </w:r>
      <w:r>
        <w:rPr>
          <w:rFonts w:hint="eastAsia" w:ascii="仿宋" w:hAnsi="仿宋" w:eastAsia="仿宋" w:cs="仿宋"/>
          <w:color w:val="auto"/>
          <w:spacing w:val="2"/>
          <w:kern w:val="0"/>
          <w:sz w:val="28"/>
          <w:szCs w:val="28"/>
          <w:highlight w:val="none"/>
          <w:u w:val="single"/>
          <w:lang w:val="en-US" w:eastAsia="zh-CN"/>
        </w:rPr>
        <w:t>安徽嘉源建筑工程有限公司</w:t>
      </w:r>
    </w:p>
    <w:p w14:paraId="357914AE">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3. 项目概况：本项目主要建设内容为</w:t>
      </w:r>
      <w:r>
        <w:rPr>
          <w:rFonts w:hint="eastAsia" w:ascii="仿宋" w:hAnsi="仿宋" w:eastAsia="仿宋"/>
          <w:sz w:val="28"/>
          <w:szCs w:val="28"/>
          <w:u w:val="single"/>
        </w:rPr>
        <w:t>东大街改造项目建筑物拆除、平整</w:t>
      </w:r>
      <w:r>
        <w:rPr>
          <w:rFonts w:hint="eastAsia" w:ascii="仿宋" w:hAnsi="仿宋" w:eastAsia="仿宋"/>
          <w:sz w:val="28"/>
          <w:szCs w:val="28"/>
          <w:u w:val="single"/>
          <w:lang w:eastAsia="zh-CN"/>
        </w:rPr>
        <w:t>；建筑物重建</w:t>
      </w:r>
      <w:r>
        <w:rPr>
          <w:rFonts w:hint="eastAsia" w:ascii="仿宋" w:hAnsi="仿宋" w:eastAsia="仿宋"/>
          <w:sz w:val="28"/>
          <w:szCs w:val="28"/>
          <w:u w:val="single"/>
          <w:lang w:val="en-US" w:eastAsia="zh-CN"/>
        </w:rPr>
        <w:t>土建</w:t>
      </w:r>
      <w:r>
        <w:rPr>
          <w:rFonts w:hint="eastAsia" w:ascii="仿宋" w:hAnsi="仿宋" w:eastAsia="仿宋"/>
          <w:sz w:val="28"/>
          <w:szCs w:val="28"/>
          <w:u w:val="single"/>
          <w:lang w:eastAsia="zh-CN"/>
        </w:rPr>
        <w:t>；重建景观</w:t>
      </w:r>
      <w:r>
        <w:rPr>
          <w:rFonts w:hint="eastAsia" w:ascii="仿宋" w:hAnsi="仿宋" w:eastAsia="仿宋"/>
          <w:sz w:val="28"/>
          <w:szCs w:val="28"/>
          <w:u w:val="single"/>
          <w:lang w:val="en-US" w:eastAsia="zh-CN"/>
        </w:rPr>
        <w:t>；重建文化创意、灯光、标识</w:t>
      </w:r>
      <w:r>
        <w:rPr>
          <w:rFonts w:hint="eastAsia" w:ascii="仿宋" w:hAnsi="仿宋" w:eastAsia="仿宋"/>
          <w:sz w:val="28"/>
          <w:szCs w:val="28"/>
          <w:u w:val="single"/>
        </w:rPr>
        <w:t>等</w:t>
      </w:r>
      <w:r>
        <w:rPr>
          <w:rFonts w:hint="default" w:ascii="仿宋" w:hAnsi="仿宋" w:eastAsia="仿宋" w:cs="仿宋"/>
          <w:color w:val="auto"/>
          <w:spacing w:val="2"/>
          <w:kern w:val="0"/>
          <w:sz w:val="28"/>
          <w:szCs w:val="28"/>
          <w:highlight w:val="none"/>
          <w:lang w:val="en-US" w:eastAsia="zh-CN"/>
        </w:rPr>
        <w:t>，</w:t>
      </w:r>
      <w:r>
        <w:rPr>
          <w:rFonts w:hint="eastAsia" w:ascii="仿宋" w:hAnsi="仿宋" w:eastAsia="仿宋" w:cs="仿宋"/>
          <w:color w:val="auto"/>
          <w:spacing w:val="2"/>
          <w:kern w:val="0"/>
          <w:sz w:val="28"/>
          <w:szCs w:val="28"/>
          <w:highlight w:val="none"/>
          <w:lang w:val="en-US" w:eastAsia="zh-CN"/>
        </w:rPr>
        <w:t>概算价</w:t>
      </w:r>
      <w:r>
        <w:rPr>
          <w:rFonts w:hint="default" w:ascii="仿宋" w:hAnsi="仿宋" w:eastAsia="仿宋" w:cs="仿宋"/>
          <w:color w:val="auto"/>
          <w:spacing w:val="2"/>
          <w:kern w:val="0"/>
          <w:sz w:val="28"/>
          <w:szCs w:val="28"/>
          <w:highlight w:val="none"/>
          <w:lang w:val="en-US" w:eastAsia="zh-CN"/>
        </w:rPr>
        <w:t xml:space="preserve">约 </w:t>
      </w:r>
      <w:r>
        <w:rPr>
          <w:rFonts w:hint="eastAsia" w:ascii="仿宋" w:hAnsi="仿宋" w:eastAsia="仿宋" w:cs="仿宋"/>
          <w:color w:val="auto"/>
          <w:spacing w:val="2"/>
          <w:kern w:val="0"/>
          <w:sz w:val="28"/>
          <w:szCs w:val="28"/>
          <w:highlight w:val="none"/>
          <w:lang w:val="en-US" w:eastAsia="zh-CN"/>
        </w:rPr>
        <w:t>1900万（具体详见附表一总概算表）。</w:t>
      </w:r>
    </w:p>
    <w:p w14:paraId="6D177DB1">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4. 采购预算：</w:t>
      </w:r>
      <w:r>
        <w:rPr>
          <w:rFonts w:hint="eastAsia" w:ascii="仿宋" w:hAnsi="仿宋" w:eastAsia="仿宋" w:cs="Arial"/>
          <w:kern w:val="0"/>
          <w:sz w:val="28"/>
          <w:szCs w:val="28"/>
          <w:lang w:val="en-US" w:eastAsia="zh-CN"/>
        </w:rPr>
        <w:t>控制价为29534.76</w:t>
      </w:r>
      <w:r>
        <w:rPr>
          <w:rFonts w:hint="eastAsia" w:ascii="仿宋" w:hAnsi="仿宋" w:eastAsia="仿宋" w:cs="Arial"/>
          <w:kern w:val="0"/>
          <w:sz w:val="28"/>
          <w:szCs w:val="28"/>
          <w:lang w:eastAsia="zh-CN"/>
        </w:rPr>
        <w:t>元，</w:t>
      </w:r>
      <w:r>
        <w:rPr>
          <w:rFonts w:hint="eastAsia" w:ascii="仿宋" w:hAnsi="仿宋" w:eastAsia="仿宋" w:cs="Arial"/>
          <w:kern w:val="0"/>
          <w:sz w:val="28"/>
          <w:szCs w:val="28"/>
          <w:lang w:val="en-US" w:eastAsia="zh-CN"/>
        </w:rPr>
        <w:t xml:space="preserve">暂按招标概算价*皖价服 [2007]86 </w:t>
      </w:r>
      <w:r>
        <w:rPr>
          <w:rFonts w:hint="default" w:ascii="仿宋" w:hAnsi="仿宋" w:eastAsia="仿宋" w:cs="Arial"/>
          <w:kern w:val="0"/>
          <w:sz w:val="28"/>
          <w:szCs w:val="28"/>
          <w:lang w:val="en-US" w:eastAsia="zh-CN"/>
        </w:rPr>
        <w:t>号文</w:t>
      </w:r>
      <w:r>
        <w:rPr>
          <w:rFonts w:hint="eastAsia" w:ascii="仿宋" w:hAnsi="仿宋" w:eastAsia="仿宋" w:cs="Arial"/>
          <w:kern w:val="0"/>
          <w:sz w:val="28"/>
          <w:szCs w:val="28"/>
          <w:lang w:val="en-US" w:eastAsia="zh-CN"/>
        </w:rPr>
        <w:t>对应费率（3‰+1.3‰）*</w:t>
      </w:r>
      <w:r>
        <w:rPr>
          <w:rFonts w:hint="eastAsia" w:ascii="仿宋" w:hAnsi="仿宋" w:eastAsia="仿宋" w:cs="Arial"/>
          <w:kern w:val="0"/>
          <w:sz w:val="28"/>
          <w:szCs w:val="28"/>
          <w:u w:val="single"/>
          <w:lang w:val="en-US" w:eastAsia="zh-CN"/>
        </w:rPr>
        <w:t>36%</w:t>
      </w:r>
      <w:r>
        <w:rPr>
          <w:rFonts w:hint="eastAsia" w:ascii="仿宋" w:hAnsi="仿宋" w:eastAsia="仿宋" w:cs="Arial"/>
          <w:kern w:val="0"/>
          <w:sz w:val="28"/>
          <w:szCs w:val="28"/>
          <w:lang w:val="en-US" w:eastAsia="zh-CN"/>
        </w:rPr>
        <w:t>进行计算</w:t>
      </w:r>
      <w:r>
        <w:rPr>
          <w:rFonts w:hint="eastAsia" w:ascii="仿宋" w:hAnsi="仿宋" w:eastAsia="仿宋" w:cs="仿宋"/>
          <w:color w:val="auto"/>
          <w:spacing w:val="2"/>
          <w:kern w:val="0"/>
          <w:sz w:val="28"/>
          <w:szCs w:val="28"/>
          <w:highlight w:val="none"/>
          <w:lang w:val="en-US" w:eastAsia="zh-CN"/>
        </w:rPr>
        <w:t>（具体详见附表二）</w:t>
      </w:r>
      <w:r>
        <w:rPr>
          <w:rFonts w:hint="default" w:ascii="仿宋" w:hAnsi="仿宋" w:eastAsia="仿宋" w:cs="仿宋"/>
          <w:color w:val="auto"/>
          <w:spacing w:val="2"/>
          <w:kern w:val="0"/>
          <w:sz w:val="28"/>
          <w:szCs w:val="28"/>
          <w:highlight w:val="none"/>
          <w:lang w:val="en-US" w:eastAsia="zh-CN"/>
        </w:rPr>
        <w:t>。</w:t>
      </w:r>
    </w:p>
    <w:p w14:paraId="14EB82BF">
      <w:pPr>
        <w:widowControl/>
        <w:shd w:val="clear" w:color="auto" w:fill="FFFFFF"/>
        <w:jc w:val="left"/>
        <w:rPr>
          <w:rFonts w:hint="default" w:ascii="仿宋" w:hAnsi="仿宋" w:eastAsia="仿宋" w:cs="仿宋"/>
          <w:color w:val="auto"/>
          <w:spacing w:val="2"/>
          <w:kern w:val="0"/>
          <w:sz w:val="28"/>
          <w:szCs w:val="28"/>
          <w:highlight w:val="none"/>
          <w:lang w:val="en-US" w:eastAsia="zh-CN"/>
        </w:rPr>
      </w:pPr>
    </w:p>
    <w:p w14:paraId="05F45F81">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二、服务范围及内容</w:t>
      </w:r>
    </w:p>
    <w:p w14:paraId="4FE86BA3">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本项目的造价咨询服务范围为</w:t>
      </w:r>
      <w:r>
        <w:rPr>
          <w:rFonts w:hint="eastAsia" w:ascii="仿宋" w:hAnsi="仿宋" w:eastAsia="仿宋" w:cs="仿宋"/>
          <w:color w:val="auto"/>
          <w:spacing w:val="2"/>
          <w:kern w:val="0"/>
          <w:sz w:val="28"/>
          <w:szCs w:val="28"/>
          <w:highlight w:val="none"/>
          <w:lang w:val="en-US" w:eastAsia="zh-CN"/>
        </w:rPr>
        <w:t>施工</w:t>
      </w:r>
      <w:r>
        <w:rPr>
          <w:rFonts w:hint="default" w:ascii="仿宋" w:hAnsi="仿宋" w:eastAsia="仿宋" w:cs="仿宋"/>
          <w:color w:val="auto"/>
          <w:spacing w:val="2"/>
          <w:kern w:val="0"/>
          <w:sz w:val="28"/>
          <w:szCs w:val="28"/>
          <w:highlight w:val="none"/>
          <w:lang w:val="en-US" w:eastAsia="zh-CN"/>
        </w:rPr>
        <w:t>阶段服务，主要工作内容包括但不限于以下 ：</w:t>
      </w:r>
    </w:p>
    <w:p w14:paraId="5332DA38">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1. 施工图预算（招标控制价/工程量清单）编制/审核：依据设计文件、工程技术文件及相关计价规范，编制施工图预算</w:t>
      </w:r>
      <w:r>
        <w:rPr>
          <w:rFonts w:hint="eastAsia" w:ascii="仿宋" w:hAnsi="仿宋" w:eastAsia="仿宋" w:cs="仿宋"/>
          <w:color w:val="auto"/>
          <w:spacing w:val="2"/>
          <w:kern w:val="0"/>
          <w:sz w:val="28"/>
          <w:szCs w:val="28"/>
          <w:highlight w:val="none"/>
          <w:lang w:val="en-US" w:eastAsia="zh-CN"/>
        </w:rPr>
        <w:t>（需用广联达进行建模）</w:t>
      </w:r>
      <w:r>
        <w:rPr>
          <w:rFonts w:hint="default" w:ascii="仿宋" w:hAnsi="仿宋" w:eastAsia="仿宋" w:cs="仿宋"/>
          <w:color w:val="auto"/>
          <w:spacing w:val="2"/>
          <w:kern w:val="0"/>
          <w:sz w:val="28"/>
          <w:szCs w:val="28"/>
          <w:highlight w:val="none"/>
          <w:lang w:val="en-US" w:eastAsia="zh-CN"/>
        </w:rPr>
        <w:t>、</w:t>
      </w:r>
      <w:r>
        <w:rPr>
          <w:rFonts w:hint="eastAsia" w:ascii="仿宋" w:hAnsi="仿宋" w:eastAsia="仿宋" w:cs="仿宋"/>
          <w:color w:val="auto"/>
          <w:spacing w:val="2"/>
          <w:kern w:val="0"/>
          <w:sz w:val="28"/>
          <w:szCs w:val="28"/>
          <w:highlight w:val="none"/>
          <w:lang w:val="en-US" w:eastAsia="zh-CN"/>
        </w:rPr>
        <w:t>编制</w:t>
      </w:r>
      <w:r>
        <w:rPr>
          <w:rFonts w:hint="default" w:ascii="仿宋" w:hAnsi="仿宋" w:eastAsia="仿宋" w:cs="仿宋"/>
          <w:color w:val="auto"/>
          <w:spacing w:val="2"/>
          <w:kern w:val="0"/>
          <w:sz w:val="28"/>
          <w:szCs w:val="28"/>
          <w:highlight w:val="none"/>
          <w:lang w:val="en-US" w:eastAsia="zh-CN"/>
        </w:rPr>
        <w:t>工程量清单及</w:t>
      </w:r>
      <w:r>
        <w:rPr>
          <w:rFonts w:hint="eastAsia" w:ascii="仿宋" w:hAnsi="仿宋" w:eastAsia="仿宋" w:cs="仿宋"/>
          <w:color w:val="auto"/>
          <w:spacing w:val="2"/>
          <w:kern w:val="0"/>
          <w:sz w:val="28"/>
          <w:szCs w:val="28"/>
          <w:highlight w:val="none"/>
          <w:lang w:val="en-US" w:eastAsia="zh-CN"/>
        </w:rPr>
        <w:t>与工程量核对等工作</w:t>
      </w:r>
      <w:r>
        <w:rPr>
          <w:rFonts w:hint="default" w:ascii="仿宋" w:hAnsi="仿宋" w:eastAsia="仿宋" w:cs="仿宋"/>
          <w:color w:val="auto"/>
          <w:spacing w:val="2"/>
          <w:kern w:val="0"/>
          <w:sz w:val="28"/>
          <w:szCs w:val="28"/>
          <w:highlight w:val="none"/>
          <w:lang w:val="en-US" w:eastAsia="zh-CN"/>
        </w:rPr>
        <w:t>，对主要材料和设备进行市场询价与核价，</w:t>
      </w:r>
      <w:r>
        <w:rPr>
          <w:rFonts w:hint="eastAsia" w:ascii="仿宋" w:hAnsi="仿宋" w:eastAsia="仿宋" w:cs="仿宋"/>
          <w:color w:val="auto"/>
          <w:spacing w:val="2"/>
          <w:kern w:val="0"/>
          <w:sz w:val="28"/>
          <w:szCs w:val="28"/>
          <w:highlight w:val="none"/>
          <w:lang w:val="en-US" w:eastAsia="zh-CN"/>
        </w:rPr>
        <w:t>必要时</w:t>
      </w:r>
      <w:r>
        <w:rPr>
          <w:rFonts w:hint="default" w:ascii="仿宋" w:hAnsi="仿宋" w:eastAsia="仿宋" w:cs="仿宋"/>
          <w:color w:val="auto"/>
          <w:spacing w:val="2"/>
          <w:kern w:val="0"/>
          <w:sz w:val="28"/>
          <w:szCs w:val="28"/>
          <w:highlight w:val="none"/>
          <w:lang w:val="en-US" w:eastAsia="zh-CN"/>
        </w:rPr>
        <w:t>协助</w:t>
      </w:r>
      <w:r>
        <w:rPr>
          <w:rFonts w:hint="eastAsia" w:ascii="仿宋" w:hAnsi="仿宋" w:eastAsia="仿宋" w:cs="仿宋"/>
          <w:color w:val="auto"/>
          <w:spacing w:val="2"/>
          <w:kern w:val="0"/>
          <w:sz w:val="28"/>
          <w:szCs w:val="28"/>
          <w:highlight w:val="none"/>
          <w:lang w:val="en-US" w:eastAsia="zh-CN"/>
        </w:rPr>
        <w:t>总包</w:t>
      </w:r>
      <w:r>
        <w:rPr>
          <w:rFonts w:hint="default" w:ascii="仿宋" w:hAnsi="仿宋" w:eastAsia="仿宋" w:cs="仿宋"/>
          <w:color w:val="auto"/>
          <w:spacing w:val="2"/>
          <w:kern w:val="0"/>
          <w:sz w:val="28"/>
          <w:szCs w:val="28"/>
          <w:highlight w:val="none"/>
          <w:lang w:val="en-US" w:eastAsia="zh-CN"/>
        </w:rPr>
        <w:t>单位进行采购价格谈判 。</w:t>
      </w:r>
    </w:p>
    <w:p w14:paraId="04F30ABB">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eastAsia" w:ascii="仿宋" w:hAnsi="仿宋" w:eastAsia="仿宋" w:cs="仿宋"/>
          <w:color w:val="auto"/>
          <w:spacing w:val="2"/>
          <w:kern w:val="0"/>
          <w:sz w:val="28"/>
          <w:szCs w:val="28"/>
          <w:highlight w:val="none"/>
          <w:lang w:val="en-US" w:eastAsia="zh-CN"/>
        </w:rPr>
        <w:t>2</w:t>
      </w:r>
      <w:r>
        <w:rPr>
          <w:rFonts w:hint="default" w:ascii="仿宋" w:hAnsi="仿宋" w:eastAsia="仿宋" w:cs="仿宋"/>
          <w:color w:val="auto"/>
          <w:spacing w:val="2"/>
          <w:kern w:val="0"/>
          <w:sz w:val="28"/>
          <w:szCs w:val="28"/>
          <w:highlight w:val="none"/>
          <w:lang w:val="en-US" w:eastAsia="zh-CN"/>
        </w:rPr>
        <w:t>. 其他服务：提供工程造价相关经济指标，配合审计</w:t>
      </w:r>
      <w:r>
        <w:rPr>
          <w:rFonts w:hint="eastAsia" w:ascii="仿宋" w:hAnsi="仿宋" w:eastAsia="仿宋" w:cs="仿宋"/>
          <w:color w:val="auto"/>
          <w:spacing w:val="2"/>
          <w:kern w:val="0"/>
          <w:sz w:val="28"/>
          <w:szCs w:val="28"/>
          <w:highlight w:val="none"/>
          <w:lang w:val="en-US" w:eastAsia="zh-CN"/>
        </w:rPr>
        <w:t>单位</w:t>
      </w:r>
      <w:r>
        <w:rPr>
          <w:rFonts w:hint="default" w:ascii="仿宋" w:hAnsi="仿宋" w:eastAsia="仿宋" w:cs="仿宋"/>
          <w:color w:val="auto"/>
          <w:spacing w:val="2"/>
          <w:kern w:val="0"/>
          <w:sz w:val="28"/>
          <w:szCs w:val="28"/>
          <w:highlight w:val="none"/>
          <w:lang w:val="en-US" w:eastAsia="zh-CN"/>
        </w:rPr>
        <w:t>完成审计工作，以及提供有关工程造价信息咨询等服务 。</w:t>
      </w:r>
    </w:p>
    <w:p w14:paraId="3EB6C372">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p w14:paraId="1243B2CC">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三、服务团队与人员要求</w:t>
      </w:r>
    </w:p>
    <w:p w14:paraId="1869C167">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p w14:paraId="42796087">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1. 项目负责人：须具备有效的</w:t>
      </w:r>
      <w:r>
        <w:rPr>
          <w:rFonts w:hint="eastAsia" w:ascii="仿宋" w:hAnsi="仿宋" w:eastAsia="仿宋" w:cs="仿宋"/>
          <w:color w:val="auto"/>
          <w:spacing w:val="2"/>
          <w:kern w:val="0"/>
          <w:sz w:val="28"/>
          <w:szCs w:val="28"/>
          <w:highlight w:val="none"/>
          <w:lang w:val="en-US" w:eastAsia="zh-CN"/>
        </w:rPr>
        <w:t>二</w:t>
      </w:r>
      <w:r>
        <w:rPr>
          <w:rFonts w:hint="default" w:ascii="仿宋" w:hAnsi="仿宋" w:eastAsia="仿宋" w:cs="仿宋"/>
          <w:color w:val="auto"/>
          <w:spacing w:val="2"/>
          <w:kern w:val="0"/>
          <w:sz w:val="28"/>
          <w:szCs w:val="28"/>
          <w:highlight w:val="none"/>
          <w:lang w:val="en-US" w:eastAsia="zh-CN"/>
        </w:rPr>
        <w:t>级</w:t>
      </w:r>
      <w:r>
        <w:rPr>
          <w:rFonts w:hint="eastAsia" w:ascii="仿宋" w:hAnsi="仿宋" w:eastAsia="仿宋" w:cs="仿宋"/>
          <w:color w:val="auto"/>
          <w:spacing w:val="2"/>
          <w:kern w:val="0"/>
          <w:sz w:val="28"/>
          <w:szCs w:val="28"/>
          <w:highlight w:val="none"/>
          <w:lang w:val="en-US" w:eastAsia="zh-CN"/>
        </w:rPr>
        <w:t>及以上</w:t>
      </w:r>
      <w:r>
        <w:rPr>
          <w:rFonts w:hint="default" w:ascii="仿宋" w:hAnsi="仿宋" w:eastAsia="仿宋" w:cs="仿宋"/>
          <w:color w:val="auto"/>
          <w:spacing w:val="2"/>
          <w:kern w:val="0"/>
          <w:sz w:val="28"/>
          <w:szCs w:val="28"/>
          <w:highlight w:val="none"/>
          <w:lang w:val="en-US" w:eastAsia="zh-CN"/>
        </w:rPr>
        <w:t>注册造价工程师资格（土木建筑工程），且注册在本单位 。</w:t>
      </w:r>
    </w:p>
    <w:p w14:paraId="0BB380AD">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2. 团队配置：根据项目专业需求（如土建、市政</w:t>
      </w:r>
      <w:r>
        <w:rPr>
          <w:rFonts w:hint="eastAsia" w:ascii="仿宋" w:hAnsi="仿宋" w:eastAsia="仿宋" w:cs="仿宋"/>
          <w:color w:val="auto"/>
          <w:spacing w:val="2"/>
          <w:kern w:val="0"/>
          <w:sz w:val="28"/>
          <w:szCs w:val="28"/>
          <w:highlight w:val="none"/>
          <w:lang w:val="en-US" w:eastAsia="zh-CN"/>
        </w:rPr>
        <w:t>、景观等</w:t>
      </w:r>
      <w:r>
        <w:rPr>
          <w:rFonts w:hint="default" w:ascii="仿宋" w:hAnsi="仿宋" w:eastAsia="仿宋" w:cs="仿宋"/>
          <w:color w:val="auto"/>
          <w:spacing w:val="2"/>
          <w:kern w:val="0"/>
          <w:sz w:val="28"/>
          <w:szCs w:val="28"/>
          <w:highlight w:val="none"/>
          <w:lang w:val="en-US" w:eastAsia="zh-CN"/>
        </w:rPr>
        <w:t>），投标人应配备具有相应专业能力的造价人员，且人员数量应满足项目进度要求。</w:t>
      </w:r>
    </w:p>
    <w:p w14:paraId="71D24578">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p w14:paraId="5AEB3EDD">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四、服务期限与成果交付</w:t>
      </w:r>
    </w:p>
    <w:p w14:paraId="34F4681B">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1. 服务期限：自合同签订之日起至</w:t>
      </w:r>
      <w:r>
        <w:rPr>
          <w:rFonts w:hint="eastAsia" w:ascii="仿宋" w:hAnsi="仿宋" w:eastAsia="仿宋" w:cs="仿宋"/>
          <w:color w:val="auto"/>
          <w:spacing w:val="2"/>
          <w:kern w:val="0"/>
          <w:sz w:val="28"/>
          <w:szCs w:val="28"/>
          <w:highlight w:val="none"/>
          <w:lang w:val="en-US" w:eastAsia="zh-CN"/>
        </w:rPr>
        <w:t>项目结算审计结束</w:t>
      </w:r>
      <w:r>
        <w:rPr>
          <w:rFonts w:hint="default" w:ascii="仿宋" w:hAnsi="仿宋" w:eastAsia="仿宋" w:cs="仿宋"/>
          <w:color w:val="auto"/>
          <w:spacing w:val="2"/>
          <w:kern w:val="0"/>
          <w:sz w:val="28"/>
          <w:szCs w:val="28"/>
          <w:highlight w:val="none"/>
          <w:lang w:val="en-US" w:eastAsia="zh-CN"/>
        </w:rPr>
        <w:t xml:space="preserve"> 。</w:t>
      </w:r>
    </w:p>
    <w:p w14:paraId="1CB5C4B0">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2. 时限要求：收到资料后，预算</w:t>
      </w:r>
      <w:r>
        <w:rPr>
          <w:rFonts w:hint="eastAsia" w:ascii="仿宋" w:hAnsi="仿宋" w:eastAsia="仿宋" w:cs="仿宋"/>
          <w:color w:val="auto"/>
          <w:spacing w:val="2"/>
          <w:kern w:val="0"/>
          <w:sz w:val="28"/>
          <w:szCs w:val="28"/>
          <w:highlight w:val="none"/>
          <w:lang w:val="en-US" w:eastAsia="zh-CN"/>
        </w:rPr>
        <w:t>及清单</w:t>
      </w:r>
      <w:r>
        <w:rPr>
          <w:rFonts w:hint="default" w:ascii="仿宋" w:hAnsi="仿宋" w:eastAsia="仿宋" w:cs="仿宋"/>
          <w:color w:val="auto"/>
          <w:spacing w:val="2"/>
          <w:kern w:val="0"/>
          <w:sz w:val="28"/>
          <w:szCs w:val="28"/>
          <w:highlight w:val="none"/>
          <w:lang w:val="en-US" w:eastAsia="zh-CN"/>
        </w:rPr>
        <w:t>编制时限不超过</w:t>
      </w:r>
      <w:r>
        <w:rPr>
          <w:rFonts w:hint="eastAsia" w:ascii="仿宋" w:hAnsi="仿宋" w:eastAsia="仿宋" w:cs="仿宋"/>
          <w:color w:val="auto"/>
          <w:spacing w:val="2"/>
          <w:kern w:val="0"/>
          <w:sz w:val="28"/>
          <w:szCs w:val="28"/>
          <w:highlight w:val="none"/>
          <w:lang w:val="en-US" w:eastAsia="zh-CN"/>
        </w:rPr>
        <w:t>15</w:t>
      </w:r>
      <w:r>
        <w:rPr>
          <w:rFonts w:hint="default" w:ascii="仿宋" w:hAnsi="仿宋" w:eastAsia="仿宋" w:cs="仿宋"/>
          <w:color w:val="auto"/>
          <w:spacing w:val="2"/>
          <w:kern w:val="0"/>
          <w:sz w:val="28"/>
          <w:szCs w:val="28"/>
          <w:highlight w:val="none"/>
          <w:lang w:val="en-US" w:eastAsia="zh-CN"/>
        </w:rPr>
        <w:t>个工作日；</w:t>
      </w:r>
      <w:r>
        <w:rPr>
          <w:rFonts w:hint="eastAsia" w:ascii="仿宋" w:hAnsi="仿宋" w:eastAsia="仿宋" w:cs="仿宋"/>
          <w:color w:val="auto"/>
          <w:spacing w:val="2"/>
          <w:kern w:val="0"/>
          <w:sz w:val="28"/>
          <w:szCs w:val="28"/>
          <w:highlight w:val="none"/>
          <w:lang w:val="en-US" w:eastAsia="zh-CN"/>
        </w:rPr>
        <w:t>应业主要求随时配合对账工作</w:t>
      </w:r>
      <w:r>
        <w:rPr>
          <w:rFonts w:hint="default" w:ascii="仿宋" w:hAnsi="仿宋" w:eastAsia="仿宋" w:cs="仿宋"/>
          <w:color w:val="auto"/>
          <w:spacing w:val="2"/>
          <w:kern w:val="0"/>
          <w:sz w:val="28"/>
          <w:szCs w:val="28"/>
          <w:highlight w:val="none"/>
          <w:lang w:val="en-US" w:eastAsia="zh-CN"/>
        </w:rPr>
        <w:t>。</w:t>
      </w:r>
    </w:p>
    <w:p w14:paraId="4221A11D">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3. 成果要求：</w:t>
      </w:r>
    </w:p>
    <w:p w14:paraId="2D388F41">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 xml:space="preserve">   · 所有造价咨询成果文件均需符合《建设工程造价咨询规范》及国家、省、市现行相关规定 。</w:t>
      </w:r>
    </w:p>
    <w:p w14:paraId="6E568B5B">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 xml:space="preserve">   · 提供</w:t>
      </w:r>
      <w:r>
        <w:rPr>
          <w:rFonts w:hint="eastAsia" w:ascii="仿宋" w:hAnsi="仿宋" w:eastAsia="仿宋" w:cs="仿宋"/>
          <w:color w:val="auto"/>
          <w:spacing w:val="2"/>
          <w:kern w:val="0"/>
          <w:sz w:val="28"/>
          <w:szCs w:val="28"/>
          <w:highlight w:val="none"/>
          <w:lang w:val="en-US" w:eastAsia="zh-CN"/>
        </w:rPr>
        <w:t>最终</w:t>
      </w:r>
      <w:r>
        <w:rPr>
          <w:rFonts w:hint="default" w:ascii="仿宋" w:hAnsi="仿宋" w:eastAsia="仿宋" w:cs="仿宋"/>
          <w:color w:val="auto"/>
          <w:spacing w:val="2"/>
          <w:kern w:val="0"/>
          <w:sz w:val="28"/>
          <w:szCs w:val="28"/>
          <w:highlight w:val="none"/>
          <w:lang w:val="en-US" w:eastAsia="zh-CN"/>
        </w:rPr>
        <w:t xml:space="preserve">纸质版成果文件 </w:t>
      </w:r>
      <w:r>
        <w:rPr>
          <w:rFonts w:hint="eastAsia" w:ascii="仿宋" w:hAnsi="仿宋" w:eastAsia="仿宋" w:cs="仿宋"/>
          <w:color w:val="auto"/>
          <w:spacing w:val="2"/>
          <w:kern w:val="0"/>
          <w:sz w:val="28"/>
          <w:szCs w:val="28"/>
          <w:highlight w:val="none"/>
          <w:lang w:val="en-US" w:eastAsia="zh-CN"/>
        </w:rPr>
        <w:t>2</w:t>
      </w:r>
      <w:r>
        <w:rPr>
          <w:rFonts w:hint="default" w:ascii="仿宋" w:hAnsi="仿宋" w:eastAsia="仿宋" w:cs="仿宋"/>
          <w:color w:val="auto"/>
          <w:spacing w:val="2"/>
          <w:kern w:val="0"/>
          <w:sz w:val="28"/>
          <w:szCs w:val="28"/>
          <w:highlight w:val="none"/>
          <w:lang w:val="en-US" w:eastAsia="zh-CN"/>
        </w:rPr>
        <w:t xml:space="preserve"> 份及</w:t>
      </w:r>
      <w:r>
        <w:rPr>
          <w:rFonts w:hint="eastAsia" w:ascii="仿宋" w:hAnsi="仿宋" w:eastAsia="仿宋" w:cs="仿宋"/>
          <w:color w:val="auto"/>
          <w:spacing w:val="2"/>
          <w:kern w:val="0"/>
          <w:sz w:val="28"/>
          <w:szCs w:val="28"/>
          <w:highlight w:val="none"/>
          <w:lang w:val="en-US" w:eastAsia="zh-CN"/>
        </w:rPr>
        <w:t>对应</w:t>
      </w:r>
      <w:r>
        <w:rPr>
          <w:rFonts w:hint="default" w:ascii="仿宋" w:hAnsi="仿宋" w:eastAsia="仿宋" w:cs="仿宋"/>
          <w:color w:val="auto"/>
          <w:spacing w:val="2"/>
          <w:kern w:val="0"/>
          <w:sz w:val="28"/>
          <w:szCs w:val="28"/>
          <w:highlight w:val="none"/>
          <w:lang w:val="en-US" w:eastAsia="zh-CN"/>
        </w:rPr>
        <w:t>电子版（含</w:t>
      </w:r>
      <w:r>
        <w:rPr>
          <w:rFonts w:hint="eastAsia" w:ascii="仿宋" w:hAnsi="仿宋" w:eastAsia="仿宋" w:cs="仿宋"/>
          <w:color w:val="auto"/>
          <w:spacing w:val="2"/>
          <w:kern w:val="0"/>
          <w:sz w:val="28"/>
          <w:szCs w:val="28"/>
          <w:highlight w:val="none"/>
          <w:lang w:val="en-US" w:eastAsia="zh-CN"/>
        </w:rPr>
        <w:t>广联达模型、</w:t>
      </w:r>
      <w:r>
        <w:rPr>
          <w:rFonts w:hint="default" w:ascii="仿宋" w:hAnsi="仿宋" w:eastAsia="仿宋" w:cs="仿宋"/>
          <w:color w:val="auto"/>
          <w:spacing w:val="2"/>
          <w:kern w:val="0"/>
          <w:sz w:val="28"/>
          <w:szCs w:val="28"/>
          <w:highlight w:val="none"/>
          <w:lang w:val="en-US" w:eastAsia="zh-CN"/>
        </w:rPr>
        <w:t>计价软件版、Excel版、PDF版）。</w:t>
      </w:r>
    </w:p>
    <w:p w14:paraId="2AEA4C32">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p w14:paraId="7CC071FB">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五、商务要求</w:t>
      </w:r>
    </w:p>
    <w:p w14:paraId="36FED597">
      <w:pPr>
        <w:keepNext w:val="0"/>
        <w:keepLines w:val="0"/>
        <w:pageBreakBefore w:val="0"/>
        <w:kinsoku/>
        <w:wordWrap/>
        <w:overflowPunct/>
        <w:topLinePunct w:val="0"/>
        <w:autoSpaceDE/>
        <w:autoSpaceDN/>
        <w:bidi w:val="0"/>
        <w:adjustRightInd/>
        <w:snapToGrid/>
        <w:spacing w:line="520" w:lineRule="exact"/>
        <w:ind w:firstLine="565" w:firstLineChars="199"/>
        <w:textAlignment w:val="auto"/>
        <w:rPr>
          <w:rFonts w:hint="default" w:ascii="仿宋" w:hAnsi="仿宋" w:eastAsia="仿宋"/>
          <w:sz w:val="28"/>
          <w:szCs w:val="28"/>
          <w:lang w:val="en-US" w:eastAsia="zh-CN"/>
        </w:rPr>
      </w:pPr>
      <w:r>
        <w:rPr>
          <w:rFonts w:hint="default" w:ascii="仿宋" w:hAnsi="仿宋" w:eastAsia="仿宋" w:cs="仿宋"/>
          <w:color w:val="auto"/>
          <w:spacing w:val="2"/>
          <w:kern w:val="0"/>
          <w:sz w:val="28"/>
          <w:szCs w:val="28"/>
          <w:highlight w:val="none"/>
          <w:lang w:val="en-US" w:eastAsia="zh-CN"/>
        </w:rPr>
        <w:t>1. 付款方式：</w:t>
      </w:r>
      <w:r>
        <w:rPr>
          <w:rFonts w:hint="eastAsia" w:ascii="仿宋" w:hAnsi="仿宋" w:eastAsia="仿宋" w:cs="Times New Roman"/>
          <w:sz w:val="28"/>
          <w:szCs w:val="28"/>
          <w:lang w:val="en-US" w:eastAsia="zh-CN"/>
        </w:rPr>
        <w:t>清单及预算编制完成</w:t>
      </w:r>
      <w:r>
        <w:rPr>
          <w:rFonts w:hint="eastAsia" w:ascii="仿宋" w:hAnsi="仿宋" w:eastAsia="仿宋" w:cs="Times New Roman"/>
          <w:sz w:val="28"/>
          <w:szCs w:val="28"/>
          <w:lang w:eastAsia="zh-CN"/>
        </w:rPr>
        <w:t>、</w:t>
      </w:r>
      <w:r>
        <w:rPr>
          <w:rFonts w:hint="eastAsia" w:ascii="仿宋" w:hAnsi="仿宋" w:eastAsia="仿宋" w:cs="Times New Roman"/>
          <w:sz w:val="28"/>
          <w:szCs w:val="28"/>
          <w:lang w:val="en-US" w:eastAsia="zh-CN"/>
        </w:rPr>
        <w:t>与业主</w:t>
      </w:r>
      <w:r>
        <w:rPr>
          <w:rFonts w:hint="eastAsia" w:ascii="仿宋" w:hAnsi="仿宋" w:eastAsia="仿宋"/>
          <w:sz w:val="28"/>
          <w:szCs w:val="28"/>
          <w:lang w:val="en-US" w:eastAsia="zh-CN"/>
        </w:rPr>
        <w:t>核对完成后（包括工程量和套价）</w:t>
      </w:r>
      <w:r>
        <w:rPr>
          <w:rFonts w:hint="eastAsia" w:ascii="仿宋" w:hAnsi="仿宋" w:eastAsia="仿宋"/>
          <w:sz w:val="28"/>
          <w:szCs w:val="28"/>
          <w:lang w:eastAsia="zh-CN"/>
        </w:rPr>
        <w:t>支付合同价的</w:t>
      </w:r>
      <w:r>
        <w:rPr>
          <w:rFonts w:hint="eastAsia" w:ascii="仿宋" w:hAnsi="仿宋" w:eastAsia="仿宋"/>
          <w:sz w:val="28"/>
          <w:szCs w:val="28"/>
          <w:lang w:val="en-US" w:eastAsia="zh-CN"/>
        </w:rPr>
        <w:t>90</w:t>
      </w:r>
      <w:r>
        <w:rPr>
          <w:rFonts w:hint="eastAsia" w:ascii="仿宋" w:hAnsi="仿宋" w:eastAsia="仿宋"/>
          <w:sz w:val="28"/>
          <w:szCs w:val="28"/>
          <w:lang w:eastAsia="zh-CN"/>
        </w:rPr>
        <w:t>%，剩余</w:t>
      </w:r>
      <w:r>
        <w:rPr>
          <w:rFonts w:hint="eastAsia" w:ascii="仿宋" w:hAnsi="仿宋" w:eastAsia="仿宋"/>
          <w:sz w:val="28"/>
          <w:szCs w:val="28"/>
          <w:lang w:val="en-US" w:eastAsia="zh-CN"/>
        </w:rPr>
        <w:t>1</w:t>
      </w:r>
      <w:r>
        <w:rPr>
          <w:rFonts w:hint="eastAsia" w:ascii="仿宋" w:hAnsi="仿宋" w:eastAsia="仿宋"/>
          <w:sz w:val="28"/>
          <w:szCs w:val="28"/>
          <w:lang w:eastAsia="zh-CN"/>
        </w:rPr>
        <w:t>0%</w:t>
      </w:r>
      <w:r>
        <w:rPr>
          <w:rFonts w:hint="eastAsia" w:ascii="仿宋" w:hAnsi="仿宋" w:eastAsia="仿宋"/>
          <w:sz w:val="28"/>
          <w:szCs w:val="28"/>
          <w:lang w:val="en-US" w:eastAsia="zh-CN"/>
        </w:rPr>
        <w:t>在所有工程竣工审计完成后支付</w:t>
      </w:r>
      <w:r>
        <w:rPr>
          <w:rFonts w:hint="eastAsia" w:ascii="仿宋" w:hAnsi="仿宋" w:eastAsia="仿宋"/>
          <w:sz w:val="28"/>
          <w:szCs w:val="28"/>
          <w:lang w:eastAsia="zh-CN"/>
        </w:rPr>
        <w:t>（各阶段付款均无息）。</w:t>
      </w:r>
      <w:r>
        <w:rPr>
          <w:rFonts w:hint="eastAsia" w:ascii="仿宋" w:hAnsi="仿宋" w:eastAsia="仿宋"/>
          <w:sz w:val="28"/>
          <w:szCs w:val="28"/>
          <w:lang w:val="en-US" w:eastAsia="zh-CN"/>
        </w:rPr>
        <w:t>每次付款前需提供对应金额的增值税发票。</w:t>
      </w:r>
      <w:bookmarkStart w:id="0" w:name="_GoBack"/>
      <w:bookmarkEnd w:id="0"/>
    </w:p>
    <w:p w14:paraId="1C05BD34">
      <w:pPr>
        <w:keepNext w:val="0"/>
        <w:keepLines w:val="0"/>
        <w:pageBreakBefore w:val="0"/>
        <w:kinsoku/>
        <w:wordWrap/>
        <w:overflowPunct/>
        <w:topLinePunct w:val="0"/>
        <w:autoSpaceDE/>
        <w:autoSpaceDN/>
        <w:bidi w:val="0"/>
        <w:adjustRightInd/>
        <w:snapToGrid/>
        <w:spacing w:line="520" w:lineRule="exact"/>
        <w:ind w:firstLine="557" w:firstLineChars="199"/>
        <w:textAlignment w:val="auto"/>
        <w:rPr>
          <w:rFonts w:hint="default" w:ascii="仿宋" w:hAnsi="仿宋" w:eastAsia="仿宋" w:cs="仿宋"/>
          <w:color w:val="auto"/>
          <w:spacing w:val="2"/>
          <w:kern w:val="0"/>
          <w:sz w:val="28"/>
          <w:szCs w:val="28"/>
          <w:highlight w:val="none"/>
          <w:lang w:val="en-US" w:eastAsia="zh-CN"/>
        </w:rPr>
      </w:pPr>
      <w:r>
        <w:rPr>
          <w:rFonts w:hint="eastAsia" w:ascii="仿宋" w:hAnsi="仿宋" w:eastAsia="仿宋" w:cs="Times New Roman"/>
          <w:sz w:val="28"/>
          <w:szCs w:val="28"/>
          <w:lang w:val="en-US" w:eastAsia="zh-CN"/>
        </w:rPr>
        <w:t>注：1、若预算、清单编制错、漏项累计金额超过最终对账完成后上报总价的2%，每超出1%，扣除服务费10%，扣完为止（工程量清单及预算编制错、漏项特别严重的，本公司保留向编制单位索赔的权利）；2、项目施工过程中，对于因编制单位原因导致的错、漏项，编制单位需对分包单位报送的增加工程量进行审核。</w:t>
      </w:r>
    </w:p>
    <w:p w14:paraId="1654CFD1">
      <w:pPr>
        <w:widowControl/>
        <w:numPr>
          <w:ilvl w:val="0"/>
          <w:numId w:val="1"/>
        </w:numPr>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保密要求：中标单位须对服务过程中知悉的采购人商业秘密及项目资料承担保密责任。</w:t>
      </w:r>
    </w:p>
    <w:p w14:paraId="3B709AFA">
      <w:pPr>
        <w:widowControl/>
        <w:numPr>
          <w:ilvl w:val="0"/>
          <w:numId w:val="1"/>
        </w:numPr>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eastAsia" w:ascii="仿宋" w:hAnsi="仿宋" w:eastAsia="仿宋" w:cs="仿宋"/>
          <w:color w:val="auto"/>
          <w:spacing w:val="2"/>
          <w:kern w:val="0"/>
          <w:sz w:val="28"/>
          <w:szCs w:val="28"/>
          <w:highlight w:val="none"/>
          <w:lang w:val="en-US" w:eastAsia="zh-CN"/>
        </w:rPr>
        <w:t>本项目最终合同价格：与业主对账完成后的金额（即定案价）*</w:t>
      </w:r>
      <w:r>
        <w:rPr>
          <w:rFonts w:hint="eastAsia" w:ascii="仿宋" w:hAnsi="仿宋" w:eastAsia="仿宋" w:cs="Arial"/>
          <w:kern w:val="0"/>
          <w:sz w:val="28"/>
          <w:szCs w:val="28"/>
          <w:lang w:val="en-US" w:eastAsia="zh-CN"/>
        </w:rPr>
        <w:t>（3‰+1.3‰）*</w:t>
      </w:r>
      <w:r>
        <w:rPr>
          <w:rFonts w:hint="eastAsia" w:ascii="仿宋" w:hAnsi="仿宋" w:eastAsia="仿宋" w:cs="Arial"/>
          <w:kern w:val="0"/>
          <w:sz w:val="28"/>
          <w:szCs w:val="28"/>
          <w:u w:val="single"/>
          <w:lang w:val="en-US" w:eastAsia="zh-CN"/>
        </w:rPr>
        <w:t xml:space="preserve">投标下浮率 </w:t>
      </w:r>
    </w:p>
    <w:p w14:paraId="5C11F3FB">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p w14:paraId="79D527FF">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六、投标人资格要求</w:t>
      </w:r>
      <w:r>
        <w:rPr>
          <w:rFonts w:hint="eastAsia" w:ascii="仿宋" w:hAnsi="仿宋" w:eastAsia="仿宋" w:cs="仿宋"/>
          <w:color w:val="auto"/>
          <w:spacing w:val="2"/>
          <w:kern w:val="0"/>
          <w:sz w:val="28"/>
          <w:szCs w:val="28"/>
          <w:highlight w:val="none"/>
          <w:lang w:val="en-US" w:eastAsia="zh-CN"/>
        </w:rPr>
        <w:t>：</w:t>
      </w:r>
    </w:p>
    <w:p w14:paraId="10F5CFFD">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1. 具有独立法人资格，持有有效的营业执照 。</w:t>
      </w:r>
    </w:p>
    <w:p w14:paraId="17F7D46A">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2. 拟派项目负责人须具有</w:t>
      </w:r>
      <w:r>
        <w:rPr>
          <w:rFonts w:hint="eastAsia" w:ascii="仿宋" w:hAnsi="仿宋" w:eastAsia="仿宋" w:cs="仿宋"/>
          <w:color w:val="auto"/>
          <w:spacing w:val="2"/>
          <w:kern w:val="0"/>
          <w:sz w:val="28"/>
          <w:szCs w:val="28"/>
          <w:highlight w:val="none"/>
          <w:lang w:val="en-US" w:eastAsia="zh-CN"/>
        </w:rPr>
        <w:t>二</w:t>
      </w:r>
      <w:r>
        <w:rPr>
          <w:rFonts w:hint="default" w:ascii="仿宋" w:hAnsi="仿宋" w:eastAsia="仿宋" w:cs="仿宋"/>
          <w:color w:val="auto"/>
          <w:spacing w:val="2"/>
          <w:kern w:val="0"/>
          <w:sz w:val="28"/>
          <w:szCs w:val="28"/>
          <w:highlight w:val="none"/>
          <w:lang w:val="en-US" w:eastAsia="zh-CN"/>
        </w:rPr>
        <w:t>级</w:t>
      </w:r>
      <w:r>
        <w:rPr>
          <w:rFonts w:hint="eastAsia" w:ascii="仿宋" w:hAnsi="仿宋" w:eastAsia="仿宋" w:cs="仿宋"/>
          <w:color w:val="auto"/>
          <w:spacing w:val="2"/>
          <w:kern w:val="0"/>
          <w:sz w:val="28"/>
          <w:szCs w:val="28"/>
          <w:highlight w:val="none"/>
          <w:lang w:val="en-US" w:eastAsia="zh-CN"/>
        </w:rPr>
        <w:t>及以上</w:t>
      </w:r>
      <w:r>
        <w:rPr>
          <w:rFonts w:hint="default" w:ascii="仿宋" w:hAnsi="仿宋" w:eastAsia="仿宋" w:cs="仿宋"/>
          <w:color w:val="auto"/>
          <w:spacing w:val="2"/>
          <w:kern w:val="0"/>
          <w:sz w:val="28"/>
          <w:szCs w:val="28"/>
          <w:highlight w:val="none"/>
          <w:lang w:val="en-US" w:eastAsia="zh-CN"/>
        </w:rPr>
        <w:t>注册造价工程师证书 。</w:t>
      </w:r>
    </w:p>
    <w:p w14:paraId="7200B712">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3. 近三年（202</w:t>
      </w:r>
      <w:r>
        <w:rPr>
          <w:rFonts w:hint="eastAsia" w:ascii="仿宋" w:hAnsi="仿宋" w:eastAsia="仿宋" w:cs="仿宋"/>
          <w:color w:val="auto"/>
          <w:spacing w:val="2"/>
          <w:kern w:val="0"/>
          <w:sz w:val="28"/>
          <w:szCs w:val="28"/>
          <w:highlight w:val="none"/>
          <w:lang w:val="en-US" w:eastAsia="zh-CN"/>
        </w:rPr>
        <w:t>3</w:t>
      </w:r>
      <w:r>
        <w:rPr>
          <w:rFonts w:hint="default" w:ascii="仿宋" w:hAnsi="仿宋" w:eastAsia="仿宋" w:cs="仿宋"/>
          <w:color w:val="auto"/>
          <w:spacing w:val="2"/>
          <w:kern w:val="0"/>
          <w:sz w:val="28"/>
          <w:szCs w:val="28"/>
          <w:highlight w:val="none"/>
          <w:lang w:val="en-US" w:eastAsia="zh-CN"/>
        </w:rPr>
        <w:t>年</w:t>
      </w:r>
      <w:r>
        <w:rPr>
          <w:rFonts w:hint="eastAsia" w:ascii="仿宋" w:hAnsi="仿宋" w:eastAsia="仿宋" w:cs="仿宋"/>
          <w:color w:val="auto"/>
          <w:spacing w:val="2"/>
          <w:kern w:val="0"/>
          <w:sz w:val="28"/>
          <w:szCs w:val="28"/>
          <w:highlight w:val="none"/>
          <w:lang w:val="en-US" w:eastAsia="zh-CN"/>
        </w:rPr>
        <w:t>1</w:t>
      </w:r>
      <w:r>
        <w:rPr>
          <w:rFonts w:hint="default" w:ascii="仿宋" w:hAnsi="仿宋" w:eastAsia="仿宋" w:cs="仿宋"/>
          <w:color w:val="auto"/>
          <w:spacing w:val="2"/>
          <w:kern w:val="0"/>
          <w:sz w:val="28"/>
          <w:szCs w:val="28"/>
          <w:highlight w:val="none"/>
          <w:lang w:val="en-US" w:eastAsia="zh-CN"/>
        </w:rPr>
        <w:t>月至今）承担过类似</w:t>
      </w:r>
      <w:r>
        <w:rPr>
          <w:rFonts w:hint="eastAsia" w:ascii="仿宋" w:hAnsi="仿宋" w:eastAsia="仿宋" w:cs="仿宋"/>
          <w:color w:val="auto"/>
          <w:spacing w:val="2"/>
          <w:kern w:val="0"/>
          <w:sz w:val="28"/>
          <w:szCs w:val="28"/>
          <w:highlight w:val="none"/>
          <w:lang w:val="en-US" w:eastAsia="zh-CN"/>
        </w:rPr>
        <w:t>仿古建筑1000万以上</w:t>
      </w:r>
      <w:r>
        <w:rPr>
          <w:rFonts w:hint="default" w:ascii="仿宋" w:hAnsi="仿宋" w:eastAsia="仿宋" w:cs="仿宋"/>
          <w:color w:val="auto"/>
          <w:spacing w:val="2"/>
          <w:kern w:val="0"/>
          <w:sz w:val="28"/>
          <w:szCs w:val="28"/>
          <w:highlight w:val="none"/>
          <w:lang w:val="en-US" w:eastAsia="zh-CN"/>
        </w:rPr>
        <w:t>工程造价咨询业绩（提供合同或</w:t>
      </w:r>
      <w:r>
        <w:rPr>
          <w:rFonts w:hint="eastAsia" w:ascii="仿宋" w:hAnsi="仿宋" w:eastAsia="仿宋" w:cs="仿宋"/>
          <w:color w:val="auto"/>
          <w:spacing w:val="2"/>
          <w:kern w:val="0"/>
          <w:sz w:val="28"/>
          <w:szCs w:val="28"/>
          <w:highlight w:val="none"/>
          <w:lang w:val="en-US" w:eastAsia="zh-CN"/>
        </w:rPr>
        <w:t>成果</w:t>
      </w:r>
      <w:r>
        <w:rPr>
          <w:rFonts w:hint="default" w:ascii="仿宋" w:hAnsi="仿宋" w:eastAsia="仿宋" w:cs="仿宋"/>
          <w:color w:val="auto"/>
          <w:spacing w:val="2"/>
          <w:kern w:val="0"/>
          <w:sz w:val="28"/>
          <w:szCs w:val="28"/>
          <w:highlight w:val="none"/>
          <w:lang w:val="en-US" w:eastAsia="zh-CN"/>
        </w:rPr>
        <w:t>报告证明）。</w:t>
      </w:r>
    </w:p>
    <w:p w14:paraId="7B0E80BA">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4. 信誉良好，未被“信用中国”列入失信被执行人名单 。</w:t>
      </w:r>
    </w:p>
    <w:p w14:paraId="42D49CE1">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p>
    <w:p w14:paraId="3D3EF2D0">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r>
        <w:rPr>
          <w:rFonts w:hint="eastAsia" w:ascii="仿宋" w:hAnsi="仿宋" w:eastAsia="仿宋" w:cs="仿宋"/>
          <w:color w:val="auto"/>
          <w:spacing w:val="2"/>
          <w:kern w:val="0"/>
          <w:sz w:val="28"/>
          <w:szCs w:val="28"/>
          <w:highlight w:val="none"/>
          <w:lang w:val="en-US" w:eastAsia="zh-CN"/>
        </w:rPr>
        <w:t>备注：本项目为EPCO项目，图纸可能出现多次变更，可能需要多次对账，投标人在报价中自行考虑，中标后不得调整合同价格。</w:t>
      </w:r>
    </w:p>
    <w:p w14:paraId="593E1382">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p>
    <w:p w14:paraId="65758B57">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p>
    <w:p w14:paraId="38B9B5F3">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p>
    <w:p w14:paraId="6A1321C0">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p>
    <w:p w14:paraId="6EE43E9E">
      <w:pPr>
        <w:widowControl/>
        <w:shd w:val="clear" w:color="auto" w:fill="FFFFFF"/>
        <w:jc w:val="left"/>
        <w:rPr>
          <w:rFonts w:hint="eastAsia" w:ascii="仿宋" w:hAnsi="仿宋" w:eastAsia="仿宋" w:cs="仿宋"/>
          <w:color w:val="auto"/>
          <w:spacing w:val="2"/>
          <w:kern w:val="0"/>
          <w:sz w:val="28"/>
          <w:szCs w:val="28"/>
          <w:highlight w:val="none"/>
          <w:lang w:val="en-US" w:eastAsia="zh-CN"/>
        </w:rPr>
      </w:pPr>
    </w:p>
    <w:p w14:paraId="1E48814F">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p>
    <w:p w14:paraId="7B1109A8">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r>
        <w:rPr>
          <w:rFonts w:hint="eastAsia" w:ascii="仿宋" w:hAnsi="仿宋" w:eastAsia="仿宋" w:cs="仿宋"/>
          <w:color w:val="auto"/>
          <w:spacing w:val="2"/>
          <w:kern w:val="0"/>
          <w:sz w:val="28"/>
          <w:szCs w:val="28"/>
          <w:highlight w:val="none"/>
          <w:lang w:val="en-US" w:eastAsia="zh-CN"/>
        </w:rPr>
        <w:t>附件一：</w:t>
      </w:r>
    </w:p>
    <w:tbl>
      <w:tblPr>
        <w:tblStyle w:val="4"/>
        <w:tblW w:w="95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57"/>
        <w:gridCol w:w="1612"/>
        <w:gridCol w:w="3332"/>
        <w:gridCol w:w="1445"/>
        <w:gridCol w:w="1714"/>
      </w:tblGrid>
      <w:tr w14:paraId="1F6A9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9560" w:type="dxa"/>
            <w:gridSpan w:val="5"/>
            <w:tcBorders>
              <w:top w:val="nil"/>
              <w:left w:val="nil"/>
              <w:bottom w:val="nil"/>
              <w:right w:val="nil"/>
            </w:tcBorders>
            <w:shd w:val="clear" w:color="auto" w:fill="auto"/>
            <w:noWrap/>
            <w:vAlign w:val="center"/>
          </w:tcPr>
          <w:p w14:paraId="42E9A402">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总概算表</w:t>
            </w:r>
          </w:p>
        </w:tc>
      </w:tr>
      <w:tr w14:paraId="425EE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0" w:type="auto"/>
            <w:gridSpan w:val="5"/>
            <w:tcBorders>
              <w:top w:val="nil"/>
              <w:left w:val="nil"/>
              <w:bottom w:val="nil"/>
              <w:right w:val="nil"/>
            </w:tcBorders>
            <w:shd w:val="clear" w:color="auto" w:fill="auto"/>
            <w:noWrap/>
            <w:vAlign w:val="center"/>
          </w:tcPr>
          <w:p w14:paraId="5D262B2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工程名称：淮南市寿县瓦埠湖千年古镇历史文化街区保护与利用工程项目（一期）EPCO</w:t>
            </w:r>
          </w:p>
        </w:tc>
      </w:tr>
      <w:tr w14:paraId="50ACD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1457" w:type="dxa"/>
            <w:tcBorders>
              <w:top w:val="single" w:color="000000" w:sz="8" w:space="0"/>
              <w:left w:val="single" w:color="000000" w:sz="8" w:space="0"/>
              <w:bottom w:val="single" w:color="000000" w:sz="4" w:space="0"/>
              <w:right w:val="single" w:color="000000" w:sz="4" w:space="0"/>
            </w:tcBorders>
            <w:shd w:val="clear" w:color="auto" w:fill="auto"/>
            <w:vAlign w:val="center"/>
          </w:tcPr>
          <w:p w14:paraId="3C4E013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第一部分</w:t>
            </w:r>
          </w:p>
        </w:tc>
        <w:tc>
          <w:tcPr>
            <w:tcW w:w="8103" w:type="dxa"/>
            <w:gridSpan w:val="4"/>
            <w:tcBorders>
              <w:top w:val="single" w:color="000000" w:sz="8" w:space="0"/>
              <w:left w:val="single" w:color="000000" w:sz="4" w:space="0"/>
              <w:bottom w:val="single" w:color="000000" w:sz="4" w:space="0"/>
              <w:right w:val="single" w:color="000000" w:sz="4" w:space="0"/>
            </w:tcBorders>
            <w:shd w:val="clear" w:color="auto" w:fill="auto"/>
            <w:vAlign w:val="center"/>
          </w:tcPr>
          <w:p w14:paraId="571A499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东入口建筑物保护与利用建安工程费用</w:t>
            </w:r>
          </w:p>
        </w:tc>
      </w:tr>
      <w:tr w14:paraId="122A0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C322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2A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工程项目</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862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建安工程费</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B7E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小计(元)</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8F4D0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04EFA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4066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787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7FC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19569300</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189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19569300.00 </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5DA5DB">
            <w:pPr>
              <w:jc w:val="center"/>
              <w:rPr>
                <w:rFonts w:hint="eastAsia" w:ascii="宋体" w:hAnsi="宋体" w:eastAsia="宋体" w:cs="宋体"/>
                <w:i w:val="0"/>
                <w:iCs w:val="0"/>
                <w:color w:val="000000"/>
                <w:sz w:val="18"/>
                <w:szCs w:val="18"/>
                <w:u w:val="none"/>
              </w:rPr>
            </w:pPr>
          </w:p>
        </w:tc>
      </w:tr>
      <w:tr w14:paraId="5FB51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8347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5D4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老街沿街环境工程</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9E5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8490000</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9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8490000.00 </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411C5F6">
            <w:pPr>
              <w:jc w:val="center"/>
              <w:rPr>
                <w:rFonts w:hint="eastAsia" w:ascii="宋体" w:hAnsi="宋体" w:eastAsia="宋体" w:cs="宋体"/>
                <w:i w:val="0"/>
                <w:iCs w:val="0"/>
                <w:color w:val="000000"/>
                <w:sz w:val="18"/>
                <w:szCs w:val="18"/>
                <w:u w:val="none"/>
              </w:rPr>
            </w:pPr>
          </w:p>
        </w:tc>
      </w:tr>
      <w:tr w14:paraId="558F3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3069"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457530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第一部分费用合计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D988D">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46A0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28059300.00 </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DAC4CDA">
            <w:pPr>
              <w:jc w:val="center"/>
              <w:rPr>
                <w:rFonts w:hint="eastAsia" w:ascii="宋体" w:hAnsi="宋体" w:eastAsia="宋体" w:cs="宋体"/>
                <w:i w:val="0"/>
                <w:iCs w:val="0"/>
                <w:color w:val="000000"/>
                <w:sz w:val="22"/>
                <w:szCs w:val="22"/>
                <w:u w:val="none"/>
              </w:rPr>
            </w:pPr>
          </w:p>
        </w:tc>
      </w:tr>
      <w:tr w14:paraId="38128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5FFBB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第二部分</w:t>
            </w:r>
          </w:p>
        </w:tc>
        <w:tc>
          <w:tcPr>
            <w:tcW w:w="8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D99C5E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工程建设其他费用</w:t>
            </w:r>
          </w:p>
        </w:tc>
      </w:tr>
      <w:tr w14:paraId="63EEF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4B7C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CE1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工程项目</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B52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工程建设其他费用</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4D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小计(元)</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2AB75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5C30A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D192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C86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0F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626501.218</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B66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626501.22 </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BD2F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不含设计</w:t>
            </w:r>
          </w:p>
        </w:tc>
      </w:tr>
      <w:tr w14:paraId="49C7F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9760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B12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老街沿街环境工程</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77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184900</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814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184900.00 </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4758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不含设计</w:t>
            </w:r>
          </w:p>
        </w:tc>
      </w:tr>
      <w:tr w14:paraId="64568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60B9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B5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勘察设计费</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DD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581386</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88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581386.00 </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68BC549">
            <w:pPr>
              <w:jc w:val="center"/>
              <w:rPr>
                <w:rFonts w:hint="eastAsia" w:ascii="宋体" w:hAnsi="宋体" w:eastAsia="宋体" w:cs="宋体"/>
                <w:i w:val="0"/>
                <w:iCs w:val="0"/>
                <w:color w:val="000000"/>
                <w:sz w:val="18"/>
                <w:szCs w:val="18"/>
                <w:u w:val="none"/>
              </w:rPr>
            </w:pPr>
          </w:p>
        </w:tc>
      </w:tr>
      <w:tr w14:paraId="1CDEA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3069"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42AEFDB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第二部分费用合计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6F6B8">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E96B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1392787.22 </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54DF8B5">
            <w:pPr>
              <w:jc w:val="center"/>
              <w:rPr>
                <w:rFonts w:hint="eastAsia" w:ascii="宋体" w:hAnsi="宋体" w:eastAsia="宋体" w:cs="宋体"/>
                <w:i w:val="0"/>
                <w:iCs w:val="0"/>
                <w:color w:val="000000"/>
                <w:sz w:val="22"/>
                <w:szCs w:val="22"/>
                <w:u w:val="none"/>
              </w:rPr>
            </w:pPr>
          </w:p>
        </w:tc>
      </w:tr>
      <w:tr w14:paraId="13BF2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C9DD1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第三部分</w:t>
            </w:r>
          </w:p>
        </w:tc>
        <w:tc>
          <w:tcPr>
            <w:tcW w:w="8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3C05BD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三类费用</w:t>
            </w:r>
          </w:p>
        </w:tc>
      </w:tr>
      <w:tr w14:paraId="6ABAB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BE1B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325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费用项目名称</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6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计算方法</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D12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费用(元)</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D76C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4911D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5564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4D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东大街改造项目基本预备费 </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049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76D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860000.00 </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B0AA5CF">
            <w:pPr>
              <w:jc w:val="center"/>
              <w:rPr>
                <w:rFonts w:hint="eastAsia" w:ascii="宋体" w:hAnsi="宋体" w:eastAsia="宋体" w:cs="宋体"/>
                <w:i w:val="0"/>
                <w:iCs w:val="0"/>
                <w:color w:val="000000"/>
                <w:sz w:val="18"/>
                <w:szCs w:val="18"/>
                <w:u w:val="none"/>
              </w:rPr>
            </w:pPr>
          </w:p>
        </w:tc>
      </w:tr>
      <w:tr w14:paraId="3BFD2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3069"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F8476A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第三部分费用合计</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769F3">
            <w:pP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E73A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860000.00 </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F2A7C7E">
            <w:pPr>
              <w:jc w:val="center"/>
              <w:rPr>
                <w:rFonts w:hint="eastAsia" w:ascii="宋体" w:hAnsi="宋体" w:eastAsia="宋体" w:cs="宋体"/>
                <w:i w:val="0"/>
                <w:iCs w:val="0"/>
                <w:color w:val="000000"/>
                <w:sz w:val="18"/>
                <w:szCs w:val="18"/>
                <w:u w:val="none"/>
              </w:rPr>
            </w:pPr>
          </w:p>
        </w:tc>
      </w:tr>
      <w:tr w14:paraId="10825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3069"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2785732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建设项目概算总投资</w:t>
            </w:r>
          </w:p>
        </w:tc>
        <w:tc>
          <w:tcPr>
            <w:tcW w:w="333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580E8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工程费用+工程建设其他费用+三类费用+运营方相关投入费用</w:t>
            </w:r>
          </w:p>
        </w:tc>
        <w:tc>
          <w:tcPr>
            <w:tcW w:w="144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7B977F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30312087.22 </w:t>
            </w:r>
          </w:p>
        </w:tc>
        <w:tc>
          <w:tcPr>
            <w:tcW w:w="0" w:type="auto"/>
            <w:tcBorders>
              <w:top w:val="single" w:color="000000" w:sz="4" w:space="0"/>
              <w:left w:val="single" w:color="000000" w:sz="4" w:space="0"/>
              <w:bottom w:val="single" w:color="000000" w:sz="8" w:space="0"/>
              <w:right w:val="single" w:color="000000" w:sz="8" w:space="0"/>
            </w:tcBorders>
            <w:shd w:val="clear" w:color="auto" w:fill="auto"/>
            <w:noWrap/>
            <w:vAlign w:val="center"/>
          </w:tcPr>
          <w:p w14:paraId="09288E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30396987.22</w:t>
            </w:r>
          </w:p>
        </w:tc>
      </w:tr>
      <w:tr w14:paraId="4950D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9" w:hRule="atLeast"/>
        </w:trPr>
        <w:tc>
          <w:tcPr>
            <w:tcW w:w="3069"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60ACD3F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建安+预备费概算总投资</w:t>
            </w:r>
          </w:p>
        </w:tc>
        <w:tc>
          <w:tcPr>
            <w:tcW w:w="333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3D7C7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工程费用+三类费用+设计费</w:t>
            </w:r>
          </w:p>
        </w:tc>
        <w:tc>
          <w:tcPr>
            <w:tcW w:w="144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3F92E1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29500686.00 </w:t>
            </w:r>
          </w:p>
        </w:tc>
        <w:tc>
          <w:tcPr>
            <w:tcW w:w="0" w:type="auto"/>
            <w:tcBorders>
              <w:top w:val="single" w:color="000000" w:sz="4" w:space="0"/>
              <w:left w:val="single" w:color="000000" w:sz="4" w:space="0"/>
              <w:bottom w:val="single" w:color="000000" w:sz="8" w:space="0"/>
              <w:right w:val="single" w:color="000000" w:sz="8" w:space="0"/>
            </w:tcBorders>
            <w:shd w:val="clear" w:color="auto" w:fill="auto"/>
            <w:noWrap/>
            <w:vAlign w:val="center"/>
          </w:tcPr>
          <w:p w14:paraId="7A7331A2">
            <w:pPr>
              <w:jc w:val="center"/>
              <w:rPr>
                <w:rFonts w:hint="eastAsia" w:ascii="宋体" w:hAnsi="宋体" w:eastAsia="宋体" w:cs="宋体"/>
                <w:i w:val="0"/>
                <w:iCs w:val="0"/>
                <w:color w:val="000000"/>
                <w:sz w:val="18"/>
                <w:szCs w:val="18"/>
                <w:u w:val="none"/>
              </w:rPr>
            </w:pPr>
          </w:p>
        </w:tc>
      </w:tr>
    </w:tbl>
    <w:p w14:paraId="5562DFC5">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p w14:paraId="2478A5D5">
      <w:pPr>
        <w:widowControl/>
        <w:shd w:val="clear" w:color="auto" w:fill="FFFFFF"/>
        <w:jc w:val="left"/>
        <w:rPr>
          <w:rFonts w:hint="default" w:ascii="仿宋" w:hAnsi="仿宋" w:eastAsia="仿宋" w:cs="仿宋"/>
          <w:color w:val="auto"/>
          <w:spacing w:val="2"/>
          <w:kern w:val="0"/>
          <w:sz w:val="28"/>
          <w:szCs w:val="28"/>
          <w:highlight w:val="none"/>
          <w:lang w:val="en-US" w:eastAsia="zh-CN"/>
        </w:rPr>
      </w:pPr>
    </w:p>
    <w:tbl>
      <w:tblPr>
        <w:tblStyle w:val="4"/>
        <w:tblW w:w="9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2"/>
        <w:gridCol w:w="1152"/>
        <w:gridCol w:w="2123"/>
        <w:gridCol w:w="2139"/>
        <w:gridCol w:w="1460"/>
        <w:gridCol w:w="2194"/>
      </w:tblGrid>
      <w:tr w14:paraId="10764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7" w:hRule="atLeast"/>
        </w:trPr>
        <w:tc>
          <w:tcPr>
            <w:tcW w:w="9660" w:type="dxa"/>
            <w:gridSpan w:val="6"/>
            <w:tcBorders>
              <w:top w:val="nil"/>
              <w:left w:val="nil"/>
              <w:bottom w:val="nil"/>
              <w:right w:val="nil"/>
            </w:tcBorders>
            <w:shd w:val="clear" w:color="auto" w:fill="auto"/>
            <w:noWrap/>
            <w:vAlign w:val="center"/>
          </w:tcPr>
          <w:p w14:paraId="70759607">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总概算表</w:t>
            </w:r>
          </w:p>
        </w:tc>
      </w:tr>
      <w:tr w14:paraId="08DD7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9660" w:type="dxa"/>
            <w:gridSpan w:val="6"/>
            <w:tcBorders>
              <w:top w:val="nil"/>
              <w:left w:val="nil"/>
              <w:bottom w:val="nil"/>
              <w:right w:val="nil"/>
            </w:tcBorders>
            <w:shd w:val="clear" w:color="auto" w:fill="auto"/>
            <w:vAlign w:val="center"/>
          </w:tcPr>
          <w:p w14:paraId="08E91C8D">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工程名称：淮南市寿县瓦埠湖千年古镇历史文化街区保护与利用工程项目（一期）EPCO（东大街改造项目）</w:t>
            </w:r>
          </w:p>
        </w:tc>
      </w:tr>
      <w:tr w14:paraId="0E3F9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1744" w:type="dxa"/>
            <w:gridSpan w:val="2"/>
            <w:tcBorders>
              <w:top w:val="single" w:color="000000" w:sz="8" w:space="0"/>
              <w:left w:val="single" w:color="000000" w:sz="8" w:space="0"/>
              <w:bottom w:val="single" w:color="000000" w:sz="4" w:space="0"/>
              <w:right w:val="single" w:color="000000" w:sz="4" w:space="0"/>
            </w:tcBorders>
            <w:shd w:val="clear" w:color="auto" w:fill="auto"/>
            <w:vAlign w:val="center"/>
          </w:tcPr>
          <w:p w14:paraId="1AF9323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第一部分</w:t>
            </w:r>
          </w:p>
        </w:tc>
        <w:tc>
          <w:tcPr>
            <w:tcW w:w="7916" w:type="dxa"/>
            <w:gridSpan w:val="4"/>
            <w:tcBorders>
              <w:top w:val="single" w:color="000000" w:sz="8" w:space="0"/>
              <w:left w:val="single" w:color="000000" w:sz="4" w:space="0"/>
              <w:bottom w:val="single" w:color="000000" w:sz="4" w:space="0"/>
              <w:right w:val="single" w:color="000000" w:sz="4" w:space="0"/>
            </w:tcBorders>
            <w:shd w:val="clear" w:color="auto" w:fill="auto"/>
            <w:vAlign w:val="center"/>
          </w:tcPr>
          <w:p w14:paraId="3E363F4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东大街改造项目建安工程费用</w:t>
            </w:r>
          </w:p>
        </w:tc>
      </w:tr>
      <w:tr w14:paraId="609AD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AFAB3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4FA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工程项目</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77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建安工程费</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EC1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小计(元)</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F646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2DAFA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26429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36F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东大街改造项目建筑物拆除、平整</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0B3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300000</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EF0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CA23AD6">
            <w:pPr>
              <w:jc w:val="center"/>
              <w:rPr>
                <w:rFonts w:hint="eastAsia" w:ascii="宋体" w:hAnsi="宋体" w:eastAsia="宋体" w:cs="宋体"/>
                <w:i w:val="0"/>
                <w:iCs w:val="0"/>
                <w:color w:val="000000"/>
                <w:sz w:val="18"/>
                <w:szCs w:val="18"/>
                <w:u w:val="none"/>
              </w:rPr>
            </w:pPr>
          </w:p>
        </w:tc>
      </w:tr>
      <w:tr w14:paraId="4FC69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0F810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8A2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东大街改造项目建筑物重建土建费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1AC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16980000</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A13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16980000.00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9C994FE">
            <w:pPr>
              <w:jc w:val="center"/>
              <w:rPr>
                <w:rFonts w:hint="eastAsia" w:ascii="宋体" w:hAnsi="宋体" w:eastAsia="宋体" w:cs="宋体"/>
                <w:i w:val="0"/>
                <w:iCs w:val="0"/>
                <w:color w:val="000000"/>
                <w:sz w:val="18"/>
                <w:szCs w:val="18"/>
                <w:u w:val="none"/>
              </w:rPr>
            </w:pPr>
          </w:p>
        </w:tc>
      </w:tr>
      <w:tr w14:paraId="75D8A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405446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D6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东大街改造项目重建安装费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87A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1350000</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A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1350000.00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2D3644B">
            <w:pPr>
              <w:jc w:val="center"/>
              <w:rPr>
                <w:rFonts w:hint="eastAsia" w:ascii="宋体" w:hAnsi="宋体" w:eastAsia="宋体" w:cs="宋体"/>
                <w:i w:val="0"/>
                <w:iCs w:val="0"/>
                <w:color w:val="000000"/>
                <w:sz w:val="18"/>
                <w:szCs w:val="18"/>
                <w:u w:val="none"/>
              </w:rPr>
            </w:pPr>
          </w:p>
        </w:tc>
      </w:tr>
      <w:tr w14:paraId="0B8BC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AD979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F18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东大街改造项目重建景观费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807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289300</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126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289300.00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7D2A4AB">
            <w:pPr>
              <w:jc w:val="center"/>
              <w:rPr>
                <w:rFonts w:hint="eastAsia" w:ascii="宋体" w:hAnsi="宋体" w:eastAsia="宋体" w:cs="宋体"/>
                <w:i w:val="0"/>
                <w:iCs w:val="0"/>
                <w:color w:val="000000"/>
                <w:sz w:val="18"/>
                <w:szCs w:val="18"/>
                <w:u w:val="none"/>
              </w:rPr>
            </w:pPr>
          </w:p>
        </w:tc>
      </w:tr>
      <w:tr w14:paraId="5285F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A4E16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3A1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东大街改造项目重建文化创意、灯光、标识实施费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87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650000</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3F1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650000.00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6A0185E">
            <w:pPr>
              <w:jc w:val="center"/>
              <w:rPr>
                <w:rFonts w:hint="eastAsia" w:ascii="宋体" w:hAnsi="宋体" w:eastAsia="宋体" w:cs="宋体"/>
                <w:i w:val="0"/>
                <w:iCs w:val="0"/>
                <w:color w:val="000000"/>
                <w:sz w:val="18"/>
                <w:szCs w:val="18"/>
                <w:u w:val="none"/>
              </w:rPr>
            </w:pPr>
          </w:p>
        </w:tc>
      </w:tr>
      <w:tr w14:paraId="5D9EB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3867"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14:paraId="6FCDF00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第一部分费用合计</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F8153">
            <w:pPr>
              <w:jc w:val="center"/>
              <w:rPr>
                <w:rFonts w:hint="eastAsia" w:ascii="宋体" w:hAnsi="宋体" w:eastAsia="宋体" w:cs="宋体"/>
                <w:b/>
                <w:bCs/>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CCFB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19569300.00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A4508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1956.93</w:t>
            </w:r>
          </w:p>
        </w:tc>
      </w:tr>
      <w:tr w14:paraId="4D731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6832BB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第二部分</w:t>
            </w:r>
          </w:p>
        </w:tc>
        <w:tc>
          <w:tcPr>
            <w:tcW w:w="79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7D3C16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工程建设其他费用</w:t>
            </w:r>
          </w:p>
        </w:tc>
      </w:tr>
      <w:tr w14:paraId="2F127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31D7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373315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69A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费用项目名称</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C0A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计算基础</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ACC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费用(元)</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9DBC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0577E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CC71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74B75D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020201001</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1C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项目建设管理费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B9136">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3F6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19569.30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5D6F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财（2016）504号</w:t>
            </w:r>
          </w:p>
        </w:tc>
      </w:tr>
      <w:tr w14:paraId="3A628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2"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B352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1AD17E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020201002</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7FB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建设单位临时设施费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F3B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工程费用*0.2%</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4905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39138.60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6AD5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计价格[2002]10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号文件</w:t>
            </w:r>
          </w:p>
        </w:tc>
      </w:tr>
      <w:tr w14:paraId="5288C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365D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08729B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020201003</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BAB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建设项目前期工作咨询费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81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3.1+3.2+3.3+3.4+3.5+3.6+3.7+3.8</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760D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73000.00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397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计价格[2002]10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号文件</w:t>
            </w:r>
          </w:p>
        </w:tc>
      </w:tr>
      <w:tr w14:paraId="1EFBA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2A1E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D6A0EA6">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258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项目交通分析</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62379">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D3F97">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DE4D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计价格[2001]1218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号文件</w:t>
            </w:r>
          </w:p>
        </w:tc>
      </w:tr>
      <w:tr w14:paraId="083BA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9ADC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729ED7A7">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2E6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项目建议书、可行性研究报告</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FCA9E">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0D9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64A11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计价格[1999]1283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号文件</w:t>
            </w:r>
          </w:p>
        </w:tc>
      </w:tr>
      <w:tr w14:paraId="421FC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5FF8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015DF408">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555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节能评估费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EF47">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6845A">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9CD2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皖价服[2007]86号文件</w:t>
            </w:r>
          </w:p>
        </w:tc>
      </w:tr>
      <w:tr w14:paraId="6CE8D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AB42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4EAFF38">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8E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水土保持方案编制费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10C5">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676BD">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DD93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306EC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51AA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B83AB42">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AB0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地质安全评估费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81875">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3DAE">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77B8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3E837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3C23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0C5DBFD7">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412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重大项目社会稳定风险评价费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25012">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414A0">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8A9B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4392F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7343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1F62126E">
            <w:pPr>
              <w:jc w:val="center"/>
              <w:rPr>
                <w:rFonts w:hint="eastAsia" w:ascii="宋体" w:hAnsi="宋体" w:eastAsia="宋体" w:cs="宋体"/>
                <w:b/>
                <w:bCs/>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ECF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劳动安全卫生评价费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489C3">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11B23">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181F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7E7E6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B429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094D6DFA">
            <w:pPr>
              <w:jc w:val="center"/>
              <w:rPr>
                <w:rFonts w:hint="eastAsia" w:ascii="宋体" w:hAnsi="宋体" w:eastAsia="宋体" w:cs="宋体"/>
                <w:b/>
                <w:bCs/>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5CA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环境影响咨询服务费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C845B">
            <w:pPr>
              <w:jc w:val="center"/>
              <w:rPr>
                <w:rFonts w:hint="eastAsia" w:ascii="宋体" w:hAnsi="宋体" w:eastAsia="宋体" w:cs="宋体"/>
                <w:b/>
                <w:bCs/>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744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0CB1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计价格[2002]125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号文件</w:t>
            </w:r>
          </w:p>
        </w:tc>
      </w:tr>
      <w:tr w14:paraId="01F4E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0137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51375F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020201004</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B99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工程勘察设计费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CB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4.1+4.2+4.3</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309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421386.00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A235408">
            <w:pPr>
              <w:jc w:val="center"/>
              <w:rPr>
                <w:rFonts w:hint="eastAsia" w:ascii="宋体" w:hAnsi="宋体" w:eastAsia="宋体" w:cs="宋体"/>
                <w:i w:val="0"/>
                <w:iCs w:val="0"/>
                <w:color w:val="000000"/>
                <w:sz w:val="18"/>
                <w:szCs w:val="18"/>
                <w:u w:val="none"/>
              </w:rPr>
            </w:pPr>
          </w:p>
        </w:tc>
      </w:tr>
      <w:tr w14:paraId="7BAAC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5D29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3CFE8344">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427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工程勘察费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86966">
            <w:pPr>
              <w:jc w:val="center"/>
              <w:rPr>
                <w:rFonts w:hint="eastAsia" w:ascii="宋体" w:hAnsi="宋体" w:eastAsia="宋体" w:cs="宋体"/>
                <w:b/>
                <w:bCs/>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4A7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409AF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发改价格[2015]299号</w:t>
            </w:r>
          </w:p>
        </w:tc>
      </w:tr>
      <w:tr w14:paraId="753E5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4"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3996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D0AAAA1">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2E6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工程设计费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143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9/200*工程费用*0.40系数</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5CFE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352247.40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01AD1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发改价格[2015]299号</w:t>
            </w:r>
          </w:p>
        </w:tc>
      </w:tr>
      <w:tr w14:paraId="36B73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7C0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6E7339F0">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CD9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初步设计咨询费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CF3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工程费用*0.2%</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6F1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39138.60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359D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发改价格[2015]299号</w:t>
            </w:r>
          </w:p>
        </w:tc>
      </w:tr>
      <w:tr w14:paraId="183B9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B15A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0CE245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020201005</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E56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交通疏解费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1112D">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17CAD">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55C1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据实计算</w:t>
            </w:r>
          </w:p>
        </w:tc>
      </w:tr>
      <w:tr w14:paraId="0B953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D0D9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29E2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020201006</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499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城市基础设施配套</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06E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建筑面积*（40元~50元）</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E2E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78750.00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C3BD4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皖价费[2008]112号文件</w:t>
            </w:r>
          </w:p>
        </w:tc>
      </w:tr>
      <w:tr w14:paraId="7F4D5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A4C4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6701A7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020201007</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49C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场地准备费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CE8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工程费用*（0.5~1.0%）</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8CF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97846.50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7DB91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建标[2011]1号</w:t>
            </w:r>
          </w:p>
        </w:tc>
      </w:tr>
      <w:tr w14:paraId="5DC4F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11CB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55C6C3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020201008</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22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研究试验费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71DD">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96181">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07EA5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6010B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77FF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588B21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020201009</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89A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材料检验试验费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BEF0">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A4427">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520DD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0BE3E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20C9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7E826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020201010</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F63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工程招标费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41E2E">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8BA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35690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中标单位支付</w:t>
            </w:r>
          </w:p>
        </w:tc>
      </w:tr>
      <w:tr w14:paraId="4126F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AA5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7DE65E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020201011</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09B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工程监理费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A24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工程费用*1%</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C3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195693.00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E3189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发改价格[2007]670号</w:t>
            </w:r>
          </w:p>
        </w:tc>
      </w:tr>
      <w:tr w14:paraId="6EE66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7601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FED64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020201012</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62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造价咨询费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77B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12.1+12.2+12.3</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FA3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97846.50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1A2A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皖价服[2007]86号文件</w:t>
            </w:r>
          </w:p>
        </w:tc>
      </w:tr>
      <w:tr w14:paraId="328CE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616C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D6F40CF">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640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工程预算</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41B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工程费用*0.2%</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86D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39138.60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FF5935">
            <w:pPr>
              <w:jc w:val="center"/>
              <w:rPr>
                <w:rFonts w:hint="eastAsia" w:ascii="宋体" w:hAnsi="宋体" w:eastAsia="宋体" w:cs="宋体"/>
                <w:i w:val="0"/>
                <w:iCs w:val="0"/>
                <w:color w:val="000000"/>
                <w:sz w:val="18"/>
                <w:szCs w:val="18"/>
                <w:u w:val="none"/>
              </w:rPr>
            </w:pPr>
          </w:p>
        </w:tc>
      </w:tr>
      <w:tr w14:paraId="11807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DE75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3AE5515A">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88E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预算审核</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0CD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工程费用*0.15%</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41E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29353.95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C3B679C">
            <w:pPr>
              <w:jc w:val="center"/>
              <w:rPr>
                <w:rFonts w:hint="eastAsia" w:ascii="宋体" w:hAnsi="宋体" w:eastAsia="宋体" w:cs="宋体"/>
                <w:i w:val="0"/>
                <w:iCs w:val="0"/>
                <w:color w:val="000000"/>
                <w:sz w:val="18"/>
                <w:szCs w:val="18"/>
                <w:u w:val="none"/>
              </w:rPr>
            </w:pPr>
          </w:p>
        </w:tc>
      </w:tr>
      <w:tr w14:paraId="3B129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DABD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9B96CEB">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E8A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结算审核</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51C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工程费用*0.15%</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E4C0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29353.95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4A3D2C2">
            <w:pPr>
              <w:jc w:val="center"/>
              <w:rPr>
                <w:rFonts w:hint="eastAsia" w:ascii="宋体" w:hAnsi="宋体" w:eastAsia="宋体" w:cs="宋体"/>
                <w:i w:val="0"/>
                <w:iCs w:val="0"/>
                <w:color w:val="000000"/>
                <w:sz w:val="18"/>
                <w:szCs w:val="18"/>
                <w:u w:val="none"/>
              </w:rPr>
            </w:pPr>
          </w:p>
        </w:tc>
      </w:tr>
      <w:tr w14:paraId="63D80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80A0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3327B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020201013</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97D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工程检测费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C0A3A">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239DC">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8A84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563A1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481E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153EE1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020201014</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A35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竣工图编制费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DD6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设计费*7%</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019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24657.32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1E150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建标[2011]1号</w:t>
            </w:r>
          </w:p>
        </w:tc>
      </w:tr>
      <w:tr w14:paraId="6C30C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0E45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D510E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020201015</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CC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特殊设备安全监督检验费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7D821">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01703">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659D9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财综[2001]10号</w:t>
            </w:r>
          </w:p>
        </w:tc>
      </w:tr>
      <w:tr w14:paraId="6555F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B010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50BD0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020201016</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DF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工程保险费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94674">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E898A">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B8880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3AA54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2261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5D57B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020201017</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A4D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高可靠性供电费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300D9">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52C7">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87600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21ACC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1E37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7FA17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020201018</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02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供电外线费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DFE1">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0AD86">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501C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按设计方案计算</w:t>
            </w:r>
          </w:p>
        </w:tc>
      </w:tr>
      <w:tr w14:paraId="4EDEA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1EDA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7ED2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020201019</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12E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燃气接入费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72A97">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21565">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F430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按照各地市政发改委部门确定价格计列</w:t>
            </w:r>
          </w:p>
        </w:tc>
      </w:tr>
      <w:tr w14:paraId="676DA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80F8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7E193B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020201020</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DE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有线电视开户费 </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AF13D">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4AD3C">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3F83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按照各地市政发改委部门确定价格计列</w:t>
            </w:r>
          </w:p>
        </w:tc>
      </w:tr>
      <w:tr w14:paraId="0D50F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3867"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14:paraId="160ADBE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第二部分费用合计</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F95A">
            <w:pPr>
              <w:jc w:val="center"/>
              <w:rPr>
                <w:rFonts w:hint="eastAsia" w:ascii="宋体" w:hAnsi="宋体" w:eastAsia="宋体" w:cs="宋体"/>
                <w:b/>
                <w:bCs/>
                <w:i w:val="0"/>
                <w:iCs w:val="0"/>
                <w:color w:val="000000"/>
                <w:sz w:val="22"/>
                <w:szCs w:val="22"/>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3509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1047887.22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387816F">
            <w:pPr>
              <w:jc w:val="center"/>
              <w:rPr>
                <w:rFonts w:hint="eastAsia" w:ascii="宋体" w:hAnsi="宋体" w:eastAsia="宋体" w:cs="宋体"/>
                <w:i w:val="0"/>
                <w:iCs w:val="0"/>
                <w:color w:val="000000"/>
                <w:sz w:val="18"/>
                <w:szCs w:val="18"/>
                <w:u w:val="none"/>
              </w:rPr>
            </w:pPr>
          </w:p>
        </w:tc>
      </w:tr>
      <w:tr w14:paraId="63C03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6DA50AE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第三部分</w:t>
            </w:r>
          </w:p>
        </w:tc>
        <w:tc>
          <w:tcPr>
            <w:tcW w:w="79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5DC30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三类费用</w:t>
            </w:r>
          </w:p>
        </w:tc>
      </w:tr>
      <w:tr w14:paraId="26C63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23CA9B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C0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费用项目名称</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55B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计算方法</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9B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费用(元)</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4EB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7A4BD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15DD8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A15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基本预备费 </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D2C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工程费用*4%</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D93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860000.00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BFF75D9">
            <w:pPr>
              <w:jc w:val="center"/>
              <w:rPr>
                <w:rFonts w:hint="eastAsia" w:ascii="宋体" w:hAnsi="宋体" w:eastAsia="宋体" w:cs="宋体"/>
                <w:i w:val="0"/>
                <w:iCs w:val="0"/>
                <w:color w:val="000000"/>
                <w:sz w:val="18"/>
                <w:szCs w:val="18"/>
                <w:u w:val="none"/>
              </w:rPr>
            </w:pPr>
          </w:p>
        </w:tc>
      </w:tr>
      <w:tr w14:paraId="0D284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3867"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14:paraId="08389C5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第三部分费用合计</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E7C52">
            <w:pPr>
              <w:rPr>
                <w:rFonts w:hint="eastAsia" w:ascii="宋体" w:hAnsi="宋体" w:eastAsia="宋体" w:cs="宋体"/>
                <w:b/>
                <w:bCs/>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E732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860000.00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FD432A7">
            <w:pPr>
              <w:jc w:val="center"/>
              <w:rPr>
                <w:rFonts w:hint="eastAsia" w:ascii="宋体" w:hAnsi="宋体" w:eastAsia="宋体" w:cs="宋体"/>
                <w:i w:val="0"/>
                <w:iCs w:val="0"/>
                <w:color w:val="000000"/>
                <w:sz w:val="18"/>
                <w:szCs w:val="18"/>
                <w:u w:val="none"/>
              </w:rPr>
            </w:pPr>
          </w:p>
        </w:tc>
      </w:tr>
      <w:tr w14:paraId="6E1BF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3" w:hRule="atLeast"/>
        </w:trPr>
        <w:tc>
          <w:tcPr>
            <w:tcW w:w="3867" w:type="dxa"/>
            <w:gridSpan w:val="3"/>
            <w:tcBorders>
              <w:top w:val="single" w:color="000000" w:sz="4" w:space="0"/>
              <w:left w:val="single" w:color="000000" w:sz="8" w:space="0"/>
              <w:bottom w:val="single" w:color="000000" w:sz="8" w:space="0"/>
              <w:right w:val="single" w:color="000000" w:sz="4" w:space="0"/>
            </w:tcBorders>
            <w:shd w:val="clear" w:color="auto" w:fill="D6DCE4"/>
            <w:vAlign w:val="center"/>
          </w:tcPr>
          <w:p w14:paraId="7D9086D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建设项目概算总投资</w:t>
            </w:r>
          </w:p>
        </w:tc>
        <w:tc>
          <w:tcPr>
            <w:tcW w:w="2139" w:type="dxa"/>
            <w:tcBorders>
              <w:top w:val="single" w:color="000000" w:sz="4" w:space="0"/>
              <w:left w:val="single" w:color="000000" w:sz="4" w:space="0"/>
              <w:bottom w:val="single" w:color="000000" w:sz="8" w:space="0"/>
              <w:right w:val="single" w:color="000000" w:sz="4" w:space="0"/>
            </w:tcBorders>
            <w:shd w:val="clear" w:color="auto" w:fill="D6DCE4"/>
            <w:vAlign w:val="center"/>
          </w:tcPr>
          <w:p w14:paraId="75BF7E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工程费用+工程建设其他费用+三类费用</w:t>
            </w:r>
          </w:p>
        </w:tc>
        <w:tc>
          <w:tcPr>
            <w:tcW w:w="1460" w:type="dxa"/>
            <w:tcBorders>
              <w:top w:val="single" w:color="000000" w:sz="4" w:space="0"/>
              <w:left w:val="single" w:color="000000" w:sz="4" w:space="0"/>
              <w:bottom w:val="single" w:color="000000" w:sz="8" w:space="0"/>
              <w:right w:val="single" w:color="000000" w:sz="4" w:space="0"/>
            </w:tcBorders>
            <w:shd w:val="clear" w:color="auto" w:fill="D6DCE4"/>
            <w:vAlign w:val="center"/>
          </w:tcPr>
          <w:p w14:paraId="06AC627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21477187.22 </w:t>
            </w:r>
          </w:p>
        </w:tc>
        <w:tc>
          <w:tcPr>
            <w:tcW w:w="2194" w:type="dxa"/>
            <w:tcBorders>
              <w:top w:val="single" w:color="000000" w:sz="4" w:space="0"/>
              <w:left w:val="single" w:color="000000" w:sz="4" w:space="0"/>
              <w:bottom w:val="single" w:color="000000" w:sz="8" w:space="0"/>
              <w:right w:val="single" w:color="000000" w:sz="8" w:space="0"/>
            </w:tcBorders>
            <w:shd w:val="clear" w:color="auto" w:fill="D6DCE4"/>
            <w:noWrap/>
            <w:vAlign w:val="center"/>
          </w:tcPr>
          <w:p w14:paraId="0144B7B5">
            <w:pPr>
              <w:jc w:val="center"/>
              <w:rPr>
                <w:rFonts w:hint="eastAsia" w:ascii="宋体" w:hAnsi="宋体" w:eastAsia="宋体" w:cs="宋体"/>
                <w:i w:val="0"/>
                <w:iCs w:val="0"/>
                <w:color w:val="000000"/>
                <w:sz w:val="18"/>
                <w:szCs w:val="18"/>
                <w:u w:val="none"/>
              </w:rPr>
            </w:pPr>
          </w:p>
        </w:tc>
      </w:tr>
    </w:tbl>
    <w:p w14:paraId="0FDB5294">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p w14:paraId="1C50A18E">
      <w:pPr>
        <w:widowControl/>
        <w:shd w:val="clear" w:color="auto" w:fill="FFFFFF"/>
        <w:jc w:val="left"/>
        <w:rPr>
          <w:rFonts w:hint="default" w:ascii="仿宋" w:hAnsi="仿宋" w:eastAsia="仿宋" w:cs="仿宋"/>
          <w:color w:val="auto"/>
          <w:spacing w:val="2"/>
          <w:kern w:val="0"/>
          <w:sz w:val="28"/>
          <w:szCs w:val="28"/>
          <w:highlight w:val="none"/>
          <w:lang w:val="en-US" w:eastAsia="zh-CN"/>
        </w:rPr>
      </w:pPr>
      <w:r>
        <w:rPr>
          <w:rFonts w:hint="eastAsia" w:ascii="仿宋" w:hAnsi="仿宋" w:eastAsia="仿宋" w:cs="仿宋"/>
          <w:color w:val="auto"/>
          <w:spacing w:val="2"/>
          <w:kern w:val="0"/>
          <w:sz w:val="28"/>
          <w:szCs w:val="28"/>
          <w:highlight w:val="none"/>
          <w:lang w:val="en-US" w:eastAsia="zh-CN"/>
        </w:rPr>
        <w:t>附件二：</w:t>
      </w:r>
    </w:p>
    <w:tbl>
      <w:tblPr>
        <w:tblStyle w:val="4"/>
        <w:tblpPr w:leftFromText="180" w:rightFromText="180" w:vertAnchor="text" w:horzAnchor="page" w:tblpX="1153" w:tblpY="604"/>
        <w:tblOverlap w:val="never"/>
        <w:tblW w:w="9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00"/>
        <w:gridCol w:w="330"/>
        <w:gridCol w:w="868"/>
        <w:gridCol w:w="774"/>
        <w:gridCol w:w="587"/>
        <w:gridCol w:w="589"/>
        <w:gridCol w:w="433"/>
        <w:gridCol w:w="433"/>
        <w:gridCol w:w="433"/>
        <w:gridCol w:w="506"/>
        <w:gridCol w:w="506"/>
        <w:gridCol w:w="506"/>
        <w:gridCol w:w="578"/>
        <w:gridCol w:w="578"/>
        <w:gridCol w:w="2441"/>
      </w:tblGrid>
      <w:tr w14:paraId="1A0AB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trPr>
        <w:tc>
          <w:tcPr>
            <w:tcW w:w="730" w:type="dxa"/>
            <w:gridSpan w:val="2"/>
            <w:tcBorders>
              <w:top w:val="nil"/>
              <w:left w:val="nil"/>
              <w:bottom w:val="nil"/>
              <w:right w:val="nil"/>
            </w:tcBorders>
            <w:shd w:val="clear" w:color="auto" w:fill="auto"/>
            <w:noWrap/>
            <w:vAlign w:val="center"/>
          </w:tcPr>
          <w:p w14:paraId="14376B5A">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rPr>
            </w:pPr>
          </w:p>
        </w:tc>
        <w:tc>
          <w:tcPr>
            <w:tcW w:w="868" w:type="dxa"/>
            <w:tcBorders>
              <w:top w:val="nil"/>
              <w:left w:val="nil"/>
              <w:bottom w:val="nil"/>
              <w:right w:val="nil"/>
            </w:tcBorders>
            <w:shd w:val="clear" w:color="auto" w:fill="auto"/>
            <w:noWrap/>
            <w:vAlign w:val="center"/>
          </w:tcPr>
          <w:p w14:paraId="6E3592BB">
            <w:pPr>
              <w:rPr>
                <w:rFonts w:hint="eastAsia" w:ascii="宋体" w:hAnsi="宋体" w:eastAsia="宋体" w:cs="宋体"/>
                <w:i w:val="0"/>
                <w:iCs w:val="0"/>
                <w:color w:val="000000"/>
                <w:sz w:val="24"/>
                <w:szCs w:val="24"/>
                <w:u w:val="none"/>
              </w:rPr>
            </w:pPr>
          </w:p>
        </w:tc>
        <w:tc>
          <w:tcPr>
            <w:tcW w:w="774" w:type="dxa"/>
            <w:tcBorders>
              <w:top w:val="nil"/>
              <w:left w:val="nil"/>
              <w:bottom w:val="nil"/>
              <w:right w:val="nil"/>
            </w:tcBorders>
            <w:shd w:val="clear" w:color="auto" w:fill="auto"/>
            <w:noWrap/>
            <w:vAlign w:val="center"/>
          </w:tcPr>
          <w:p w14:paraId="2D95CAC3">
            <w:pPr>
              <w:rPr>
                <w:rFonts w:hint="eastAsia" w:ascii="宋体" w:hAnsi="宋体" w:eastAsia="宋体" w:cs="宋体"/>
                <w:i w:val="0"/>
                <w:iCs w:val="0"/>
                <w:color w:val="000000"/>
                <w:sz w:val="24"/>
                <w:szCs w:val="24"/>
                <w:u w:val="none"/>
              </w:rPr>
            </w:pPr>
          </w:p>
        </w:tc>
        <w:tc>
          <w:tcPr>
            <w:tcW w:w="587" w:type="dxa"/>
            <w:tcBorders>
              <w:top w:val="nil"/>
              <w:left w:val="nil"/>
              <w:bottom w:val="nil"/>
              <w:right w:val="nil"/>
            </w:tcBorders>
            <w:shd w:val="clear" w:color="auto" w:fill="auto"/>
            <w:noWrap/>
            <w:vAlign w:val="center"/>
          </w:tcPr>
          <w:p w14:paraId="049E97F7">
            <w:pPr>
              <w:rPr>
                <w:rFonts w:hint="eastAsia" w:ascii="宋体" w:hAnsi="宋体" w:eastAsia="宋体" w:cs="宋体"/>
                <w:i w:val="0"/>
                <w:iCs w:val="0"/>
                <w:color w:val="000000"/>
                <w:sz w:val="24"/>
                <w:szCs w:val="24"/>
                <w:u w:val="none"/>
              </w:rPr>
            </w:pPr>
          </w:p>
        </w:tc>
        <w:tc>
          <w:tcPr>
            <w:tcW w:w="589" w:type="dxa"/>
            <w:tcBorders>
              <w:top w:val="nil"/>
              <w:left w:val="nil"/>
              <w:bottom w:val="nil"/>
              <w:right w:val="nil"/>
            </w:tcBorders>
            <w:shd w:val="clear" w:color="auto" w:fill="auto"/>
            <w:noWrap/>
            <w:vAlign w:val="center"/>
          </w:tcPr>
          <w:p w14:paraId="1DCA9E6A">
            <w:pPr>
              <w:rPr>
                <w:rFonts w:hint="eastAsia" w:ascii="宋体" w:hAnsi="宋体" w:eastAsia="宋体" w:cs="宋体"/>
                <w:i w:val="0"/>
                <w:iCs w:val="0"/>
                <w:color w:val="000000"/>
                <w:sz w:val="24"/>
                <w:szCs w:val="24"/>
                <w:u w:val="none"/>
              </w:rPr>
            </w:pPr>
          </w:p>
        </w:tc>
        <w:tc>
          <w:tcPr>
            <w:tcW w:w="433" w:type="dxa"/>
            <w:tcBorders>
              <w:top w:val="nil"/>
              <w:left w:val="nil"/>
              <w:bottom w:val="nil"/>
              <w:right w:val="nil"/>
            </w:tcBorders>
            <w:shd w:val="clear" w:color="auto" w:fill="auto"/>
            <w:noWrap/>
            <w:vAlign w:val="center"/>
          </w:tcPr>
          <w:p w14:paraId="40A15134">
            <w:pPr>
              <w:rPr>
                <w:rFonts w:hint="eastAsia" w:ascii="宋体" w:hAnsi="宋体" w:eastAsia="宋体" w:cs="宋体"/>
                <w:i w:val="0"/>
                <w:iCs w:val="0"/>
                <w:color w:val="000000"/>
                <w:sz w:val="24"/>
                <w:szCs w:val="24"/>
                <w:u w:val="none"/>
              </w:rPr>
            </w:pPr>
          </w:p>
        </w:tc>
        <w:tc>
          <w:tcPr>
            <w:tcW w:w="433" w:type="dxa"/>
            <w:tcBorders>
              <w:top w:val="nil"/>
              <w:left w:val="nil"/>
              <w:bottom w:val="nil"/>
              <w:right w:val="nil"/>
            </w:tcBorders>
            <w:shd w:val="clear" w:color="auto" w:fill="auto"/>
            <w:noWrap/>
            <w:vAlign w:val="center"/>
          </w:tcPr>
          <w:p w14:paraId="60E68266">
            <w:pPr>
              <w:rPr>
                <w:rFonts w:hint="eastAsia" w:ascii="宋体" w:hAnsi="宋体" w:eastAsia="宋体" w:cs="宋体"/>
                <w:i w:val="0"/>
                <w:iCs w:val="0"/>
                <w:color w:val="000000"/>
                <w:sz w:val="24"/>
                <w:szCs w:val="24"/>
                <w:u w:val="none"/>
              </w:rPr>
            </w:pPr>
          </w:p>
        </w:tc>
        <w:tc>
          <w:tcPr>
            <w:tcW w:w="433" w:type="dxa"/>
            <w:tcBorders>
              <w:top w:val="nil"/>
              <w:left w:val="nil"/>
              <w:bottom w:val="nil"/>
              <w:right w:val="nil"/>
            </w:tcBorders>
            <w:shd w:val="clear" w:color="auto" w:fill="auto"/>
            <w:noWrap/>
            <w:vAlign w:val="center"/>
          </w:tcPr>
          <w:p w14:paraId="19D0E7C4">
            <w:pPr>
              <w:rPr>
                <w:rFonts w:hint="eastAsia" w:ascii="宋体" w:hAnsi="宋体" w:eastAsia="宋体" w:cs="宋体"/>
                <w:i w:val="0"/>
                <w:iCs w:val="0"/>
                <w:color w:val="000000"/>
                <w:sz w:val="24"/>
                <w:szCs w:val="24"/>
                <w:u w:val="none"/>
              </w:rPr>
            </w:pPr>
          </w:p>
        </w:tc>
        <w:tc>
          <w:tcPr>
            <w:tcW w:w="506" w:type="dxa"/>
            <w:tcBorders>
              <w:top w:val="nil"/>
              <w:left w:val="nil"/>
              <w:bottom w:val="nil"/>
              <w:right w:val="nil"/>
            </w:tcBorders>
            <w:shd w:val="clear" w:color="auto" w:fill="auto"/>
            <w:noWrap/>
            <w:vAlign w:val="center"/>
          </w:tcPr>
          <w:p w14:paraId="485A63E6">
            <w:pPr>
              <w:rPr>
                <w:rFonts w:hint="eastAsia" w:ascii="宋体" w:hAnsi="宋体" w:eastAsia="宋体" w:cs="宋体"/>
                <w:i w:val="0"/>
                <w:iCs w:val="0"/>
                <w:color w:val="000000"/>
                <w:sz w:val="24"/>
                <w:szCs w:val="24"/>
                <w:u w:val="none"/>
              </w:rPr>
            </w:pPr>
          </w:p>
        </w:tc>
        <w:tc>
          <w:tcPr>
            <w:tcW w:w="506" w:type="dxa"/>
            <w:tcBorders>
              <w:top w:val="nil"/>
              <w:left w:val="nil"/>
              <w:bottom w:val="nil"/>
              <w:right w:val="nil"/>
            </w:tcBorders>
            <w:shd w:val="clear" w:color="auto" w:fill="auto"/>
            <w:noWrap/>
            <w:vAlign w:val="center"/>
          </w:tcPr>
          <w:p w14:paraId="728C1816">
            <w:pPr>
              <w:rPr>
                <w:rFonts w:hint="eastAsia" w:ascii="宋体" w:hAnsi="宋体" w:eastAsia="宋体" w:cs="宋体"/>
                <w:i w:val="0"/>
                <w:iCs w:val="0"/>
                <w:color w:val="000000"/>
                <w:sz w:val="24"/>
                <w:szCs w:val="24"/>
                <w:u w:val="none"/>
              </w:rPr>
            </w:pPr>
          </w:p>
        </w:tc>
        <w:tc>
          <w:tcPr>
            <w:tcW w:w="506" w:type="dxa"/>
            <w:tcBorders>
              <w:top w:val="nil"/>
              <w:left w:val="nil"/>
              <w:bottom w:val="nil"/>
              <w:right w:val="nil"/>
            </w:tcBorders>
            <w:shd w:val="clear" w:color="auto" w:fill="auto"/>
            <w:noWrap/>
            <w:vAlign w:val="center"/>
          </w:tcPr>
          <w:p w14:paraId="100BAFEB">
            <w:pPr>
              <w:rPr>
                <w:rFonts w:hint="eastAsia" w:ascii="宋体" w:hAnsi="宋体" w:eastAsia="宋体" w:cs="宋体"/>
                <w:i w:val="0"/>
                <w:iCs w:val="0"/>
                <w:color w:val="000000"/>
                <w:sz w:val="24"/>
                <w:szCs w:val="24"/>
                <w:u w:val="none"/>
              </w:rPr>
            </w:pPr>
          </w:p>
        </w:tc>
        <w:tc>
          <w:tcPr>
            <w:tcW w:w="578" w:type="dxa"/>
            <w:tcBorders>
              <w:top w:val="nil"/>
              <w:left w:val="nil"/>
              <w:bottom w:val="nil"/>
              <w:right w:val="nil"/>
            </w:tcBorders>
            <w:shd w:val="clear" w:color="auto" w:fill="auto"/>
            <w:noWrap/>
            <w:vAlign w:val="center"/>
          </w:tcPr>
          <w:p w14:paraId="5FED73DC">
            <w:pPr>
              <w:rPr>
                <w:rFonts w:hint="eastAsia" w:ascii="宋体" w:hAnsi="宋体" w:eastAsia="宋体" w:cs="宋体"/>
                <w:i w:val="0"/>
                <w:iCs w:val="0"/>
                <w:color w:val="000000"/>
                <w:sz w:val="24"/>
                <w:szCs w:val="24"/>
                <w:u w:val="none"/>
              </w:rPr>
            </w:pPr>
          </w:p>
        </w:tc>
        <w:tc>
          <w:tcPr>
            <w:tcW w:w="578" w:type="dxa"/>
            <w:tcBorders>
              <w:top w:val="nil"/>
              <w:left w:val="nil"/>
              <w:bottom w:val="nil"/>
              <w:right w:val="nil"/>
            </w:tcBorders>
            <w:shd w:val="clear" w:color="auto" w:fill="auto"/>
            <w:noWrap/>
            <w:vAlign w:val="center"/>
          </w:tcPr>
          <w:p w14:paraId="3A0CB68F">
            <w:pPr>
              <w:rPr>
                <w:rFonts w:hint="eastAsia" w:ascii="宋体" w:hAnsi="宋体" w:eastAsia="宋体" w:cs="宋体"/>
                <w:i w:val="0"/>
                <w:iCs w:val="0"/>
                <w:color w:val="000000"/>
                <w:sz w:val="24"/>
                <w:szCs w:val="24"/>
                <w:u w:val="none"/>
              </w:rPr>
            </w:pPr>
          </w:p>
        </w:tc>
        <w:tc>
          <w:tcPr>
            <w:tcW w:w="2441" w:type="dxa"/>
            <w:tcBorders>
              <w:top w:val="nil"/>
              <w:left w:val="nil"/>
              <w:bottom w:val="nil"/>
              <w:right w:val="nil"/>
            </w:tcBorders>
            <w:shd w:val="clear" w:color="auto" w:fill="auto"/>
            <w:noWrap/>
            <w:vAlign w:val="center"/>
          </w:tcPr>
          <w:p w14:paraId="119A5D8D">
            <w:pPr>
              <w:rPr>
                <w:rFonts w:hint="eastAsia" w:ascii="宋体" w:hAnsi="宋体" w:eastAsia="宋体" w:cs="宋体"/>
                <w:i w:val="0"/>
                <w:iCs w:val="0"/>
                <w:color w:val="000000"/>
                <w:sz w:val="24"/>
                <w:szCs w:val="24"/>
                <w:u w:val="none"/>
              </w:rPr>
            </w:pPr>
          </w:p>
        </w:tc>
      </w:tr>
      <w:tr w14:paraId="3D165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2" w:hRule="atLeast"/>
        </w:trPr>
        <w:tc>
          <w:tcPr>
            <w:tcW w:w="9962" w:type="dxa"/>
            <w:gridSpan w:val="15"/>
            <w:tcBorders>
              <w:top w:val="nil"/>
              <w:left w:val="nil"/>
              <w:bottom w:val="nil"/>
              <w:right w:val="nil"/>
            </w:tcBorders>
            <w:shd w:val="clear" w:color="auto" w:fill="auto"/>
            <w:noWrap/>
            <w:vAlign w:val="center"/>
          </w:tcPr>
          <w:p w14:paraId="52C2B6F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安徽省建设工程造价咨询服务项目及收费标准</w:t>
            </w:r>
          </w:p>
        </w:tc>
      </w:tr>
      <w:tr w14:paraId="2B72F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trPr>
        <w:tc>
          <w:tcPr>
            <w:tcW w:w="400" w:type="dxa"/>
            <w:tcBorders>
              <w:top w:val="nil"/>
              <w:left w:val="nil"/>
              <w:bottom w:val="nil"/>
              <w:right w:val="nil"/>
            </w:tcBorders>
            <w:shd w:val="clear" w:color="auto" w:fill="auto"/>
            <w:noWrap/>
            <w:vAlign w:val="center"/>
          </w:tcPr>
          <w:p w14:paraId="34F0BA91">
            <w:pPr>
              <w:rPr>
                <w:rFonts w:hint="eastAsia" w:ascii="宋体" w:hAnsi="宋体" w:eastAsia="宋体" w:cs="宋体"/>
                <w:i w:val="0"/>
                <w:iCs w:val="0"/>
                <w:color w:val="000000"/>
                <w:sz w:val="24"/>
                <w:szCs w:val="24"/>
                <w:u w:val="none"/>
              </w:rPr>
            </w:pPr>
          </w:p>
        </w:tc>
        <w:tc>
          <w:tcPr>
            <w:tcW w:w="330" w:type="dxa"/>
            <w:tcBorders>
              <w:top w:val="nil"/>
              <w:left w:val="nil"/>
              <w:bottom w:val="nil"/>
              <w:right w:val="nil"/>
            </w:tcBorders>
            <w:shd w:val="clear" w:color="auto" w:fill="auto"/>
            <w:noWrap/>
            <w:vAlign w:val="center"/>
          </w:tcPr>
          <w:p w14:paraId="018AE215">
            <w:pPr>
              <w:rPr>
                <w:rFonts w:hint="eastAsia" w:ascii="宋体" w:hAnsi="宋体" w:eastAsia="宋体" w:cs="宋体"/>
                <w:i w:val="0"/>
                <w:iCs w:val="0"/>
                <w:color w:val="000000"/>
                <w:sz w:val="24"/>
                <w:szCs w:val="24"/>
                <w:u w:val="none"/>
              </w:rPr>
            </w:pPr>
          </w:p>
        </w:tc>
        <w:tc>
          <w:tcPr>
            <w:tcW w:w="868" w:type="dxa"/>
            <w:tcBorders>
              <w:top w:val="nil"/>
              <w:left w:val="nil"/>
              <w:bottom w:val="nil"/>
              <w:right w:val="nil"/>
            </w:tcBorders>
            <w:shd w:val="clear" w:color="auto" w:fill="auto"/>
            <w:noWrap/>
            <w:vAlign w:val="center"/>
          </w:tcPr>
          <w:p w14:paraId="60476B47">
            <w:pPr>
              <w:rPr>
                <w:rFonts w:hint="eastAsia" w:ascii="宋体" w:hAnsi="宋体" w:eastAsia="宋体" w:cs="宋体"/>
                <w:i w:val="0"/>
                <w:iCs w:val="0"/>
                <w:color w:val="000000"/>
                <w:sz w:val="24"/>
                <w:szCs w:val="24"/>
                <w:u w:val="none"/>
              </w:rPr>
            </w:pPr>
          </w:p>
        </w:tc>
        <w:tc>
          <w:tcPr>
            <w:tcW w:w="774" w:type="dxa"/>
            <w:tcBorders>
              <w:top w:val="nil"/>
              <w:left w:val="nil"/>
              <w:bottom w:val="nil"/>
              <w:right w:val="nil"/>
            </w:tcBorders>
            <w:shd w:val="clear" w:color="auto" w:fill="auto"/>
            <w:noWrap/>
            <w:vAlign w:val="center"/>
          </w:tcPr>
          <w:p w14:paraId="6C0409A8">
            <w:pPr>
              <w:rPr>
                <w:rFonts w:hint="eastAsia" w:ascii="宋体" w:hAnsi="宋体" w:eastAsia="宋体" w:cs="宋体"/>
                <w:i w:val="0"/>
                <w:iCs w:val="0"/>
                <w:color w:val="000000"/>
                <w:sz w:val="24"/>
                <w:szCs w:val="24"/>
                <w:u w:val="none"/>
              </w:rPr>
            </w:pPr>
          </w:p>
        </w:tc>
        <w:tc>
          <w:tcPr>
            <w:tcW w:w="587" w:type="dxa"/>
            <w:tcBorders>
              <w:top w:val="nil"/>
              <w:left w:val="nil"/>
              <w:bottom w:val="nil"/>
              <w:right w:val="nil"/>
            </w:tcBorders>
            <w:shd w:val="clear" w:color="auto" w:fill="auto"/>
            <w:noWrap/>
            <w:vAlign w:val="center"/>
          </w:tcPr>
          <w:p w14:paraId="582CED02">
            <w:pPr>
              <w:rPr>
                <w:rFonts w:hint="eastAsia" w:ascii="宋体" w:hAnsi="宋体" w:eastAsia="宋体" w:cs="宋体"/>
                <w:i w:val="0"/>
                <w:iCs w:val="0"/>
                <w:color w:val="000000"/>
                <w:sz w:val="24"/>
                <w:szCs w:val="24"/>
                <w:u w:val="none"/>
              </w:rPr>
            </w:pPr>
          </w:p>
        </w:tc>
        <w:tc>
          <w:tcPr>
            <w:tcW w:w="589" w:type="dxa"/>
            <w:tcBorders>
              <w:top w:val="nil"/>
              <w:left w:val="nil"/>
              <w:bottom w:val="nil"/>
              <w:right w:val="nil"/>
            </w:tcBorders>
            <w:shd w:val="clear" w:color="auto" w:fill="auto"/>
            <w:noWrap/>
            <w:vAlign w:val="center"/>
          </w:tcPr>
          <w:p w14:paraId="04AF21F9">
            <w:pPr>
              <w:rPr>
                <w:rFonts w:hint="eastAsia" w:ascii="宋体" w:hAnsi="宋体" w:eastAsia="宋体" w:cs="宋体"/>
                <w:i w:val="0"/>
                <w:iCs w:val="0"/>
                <w:color w:val="000000"/>
                <w:sz w:val="24"/>
                <w:szCs w:val="24"/>
                <w:u w:val="none"/>
              </w:rPr>
            </w:pPr>
          </w:p>
        </w:tc>
        <w:tc>
          <w:tcPr>
            <w:tcW w:w="433" w:type="dxa"/>
            <w:tcBorders>
              <w:top w:val="nil"/>
              <w:left w:val="nil"/>
              <w:bottom w:val="nil"/>
              <w:right w:val="nil"/>
            </w:tcBorders>
            <w:shd w:val="clear" w:color="auto" w:fill="auto"/>
            <w:noWrap/>
            <w:vAlign w:val="center"/>
          </w:tcPr>
          <w:p w14:paraId="1D0DE87D">
            <w:pPr>
              <w:rPr>
                <w:rFonts w:hint="eastAsia" w:ascii="宋体" w:hAnsi="宋体" w:eastAsia="宋体" w:cs="宋体"/>
                <w:i w:val="0"/>
                <w:iCs w:val="0"/>
                <w:color w:val="000000"/>
                <w:sz w:val="24"/>
                <w:szCs w:val="24"/>
                <w:u w:val="none"/>
              </w:rPr>
            </w:pPr>
          </w:p>
        </w:tc>
        <w:tc>
          <w:tcPr>
            <w:tcW w:w="433" w:type="dxa"/>
            <w:tcBorders>
              <w:top w:val="nil"/>
              <w:left w:val="nil"/>
              <w:bottom w:val="nil"/>
              <w:right w:val="nil"/>
            </w:tcBorders>
            <w:shd w:val="clear" w:color="auto" w:fill="auto"/>
            <w:noWrap/>
            <w:vAlign w:val="center"/>
          </w:tcPr>
          <w:p w14:paraId="2D5AEB3C">
            <w:pPr>
              <w:rPr>
                <w:rFonts w:hint="eastAsia" w:ascii="宋体" w:hAnsi="宋体" w:eastAsia="宋体" w:cs="宋体"/>
                <w:i w:val="0"/>
                <w:iCs w:val="0"/>
                <w:color w:val="000000"/>
                <w:sz w:val="24"/>
                <w:szCs w:val="24"/>
                <w:u w:val="none"/>
              </w:rPr>
            </w:pPr>
          </w:p>
        </w:tc>
        <w:tc>
          <w:tcPr>
            <w:tcW w:w="433" w:type="dxa"/>
            <w:tcBorders>
              <w:top w:val="nil"/>
              <w:left w:val="nil"/>
              <w:bottom w:val="nil"/>
              <w:right w:val="nil"/>
            </w:tcBorders>
            <w:shd w:val="clear" w:color="auto" w:fill="auto"/>
            <w:noWrap/>
            <w:vAlign w:val="center"/>
          </w:tcPr>
          <w:p w14:paraId="61FAD807">
            <w:pPr>
              <w:rPr>
                <w:rFonts w:hint="eastAsia" w:ascii="宋体" w:hAnsi="宋体" w:eastAsia="宋体" w:cs="宋体"/>
                <w:i w:val="0"/>
                <w:iCs w:val="0"/>
                <w:color w:val="000000"/>
                <w:sz w:val="24"/>
                <w:szCs w:val="24"/>
                <w:u w:val="none"/>
              </w:rPr>
            </w:pPr>
          </w:p>
        </w:tc>
        <w:tc>
          <w:tcPr>
            <w:tcW w:w="506" w:type="dxa"/>
            <w:tcBorders>
              <w:top w:val="nil"/>
              <w:left w:val="nil"/>
              <w:bottom w:val="nil"/>
              <w:right w:val="nil"/>
            </w:tcBorders>
            <w:shd w:val="clear" w:color="auto" w:fill="auto"/>
            <w:noWrap/>
            <w:vAlign w:val="center"/>
          </w:tcPr>
          <w:p w14:paraId="730C6E67">
            <w:pPr>
              <w:rPr>
                <w:rFonts w:hint="eastAsia" w:ascii="宋体" w:hAnsi="宋体" w:eastAsia="宋体" w:cs="宋体"/>
                <w:i w:val="0"/>
                <w:iCs w:val="0"/>
                <w:color w:val="000000"/>
                <w:sz w:val="24"/>
                <w:szCs w:val="24"/>
                <w:u w:val="none"/>
              </w:rPr>
            </w:pPr>
          </w:p>
        </w:tc>
        <w:tc>
          <w:tcPr>
            <w:tcW w:w="506" w:type="dxa"/>
            <w:tcBorders>
              <w:top w:val="nil"/>
              <w:left w:val="nil"/>
              <w:bottom w:val="nil"/>
              <w:right w:val="nil"/>
            </w:tcBorders>
            <w:shd w:val="clear" w:color="auto" w:fill="auto"/>
            <w:noWrap/>
            <w:vAlign w:val="center"/>
          </w:tcPr>
          <w:p w14:paraId="3EAD4618">
            <w:pPr>
              <w:rPr>
                <w:rFonts w:hint="eastAsia" w:ascii="宋体" w:hAnsi="宋体" w:eastAsia="宋体" w:cs="宋体"/>
                <w:i w:val="0"/>
                <w:iCs w:val="0"/>
                <w:color w:val="000000"/>
                <w:sz w:val="24"/>
                <w:szCs w:val="24"/>
                <w:u w:val="none"/>
              </w:rPr>
            </w:pPr>
          </w:p>
        </w:tc>
        <w:tc>
          <w:tcPr>
            <w:tcW w:w="506" w:type="dxa"/>
            <w:tcBorders>
              <w:top w:val="nil"/>
              <w:left w:val="nil"/>
              <w:bottom w:val="nil"/>
              <w:right w:val="nil"/>
            </w:tcBorders>
            <w:shd w:val="clear" w:color="auto" w:fill="auto"/>
            <w:noWrap/>
            <w:vAlign w:val="center"/>
          </w:tcPr>
          <w:p w14:paraId="51E6F091">
            <w:pPr>
              <w:rPr>
                <w:rFonts w:hint="eastAsia" w:ascii="宋体" w:hAnsi="宋体" w:eastAsia="宋体" w:cs="宋体"/>
                <w:i w:val="0"/>
                <w:iCs w:val="0"/>
                <w:color w:val="000000"/>
                <w:sz w:val="24"/>
                <w:szCs w:val="24"/>
                <w:u w:val="none"/>
              </w:rPr>
            </w:pPr>
          </w:p>
        </w:tc>
        <w:tc>
          <w:tcPr>
            <w:tcW w:w="578" w:type="dxa"/>
            <w:tcBorders>
              <w:top w:val="nil"/>
              <w:left w:val="nil"/>
              <w:bottom w:val="nil"/>
              <w:right w:val="nil"/>
            </w:tcBorders>
            <w:shd w:val="clear" w:color="auto" w:fill="auto"/>
            <w:noWrap/>
            <w:vAlign w:val="center"/>
          </w:tcPr>
          <w:p w14:paraId="43F78B30">
            <w:pPr>
              <w:rPr>
                <w:rFonts w:hint="eastAsia" w:ascii="宋体" w:hAnsi="宋体" w:eastAsia="宋体" w:cs="宋体"/>
                <w:i w:val="0"/>
                <w:iCs w:val="0"/>
                <w:color w:val="000000"/>
                <w:sz w:val="24"/>
                <w:szCs w:val="24"/>
                <w:u w:val="none"/>
              </w:rPr>
            </w:pPr>
          </w:p>
        </w:tc>
        <w:tc>
          <w:tcPr>
            <w:tcW w:w="578" w:type="dxa"/>
            <w:tcBorders>
              <w:top w:val="nil"/>
              <w:left w:val="nil"/>
              <w:bottom w:val="nil"/>
              <w:right w:val="nil"/>
            </w:tcBorders>
            <w:shd w:val="clear" w:color="auto" w:fill="auto"/>
            <w:noWrap/>
            <w:vAlign w:val="center"/>
          </w:tcPr>
          <w:p w14:paraId="739D924A">
            <w:pPr>
              <w:rPr>
                <w:rFonts w:hint="eastAsia" w:ascii="宋体" w:hAnsi="宋体" w:eastAsia="宋体" w:cs="宋体"/>
                <w:i w:val="0"/>
                <w:iCs w:val="0"/>
                <w:color w:val="000000"/>
                <w:sz w:val="24"/>
                <w:szCs w:val="24"/>
                <w:u w:val="none"/>
              </w:rPr>
            </w:pPr>
          </w:p>
        </w:tc>
        <w:tc>
          <w:tcPr>
            <w:tcW w:w="2441" w:type="dxa"/>
            <w:tcBorders>
              <w:top w:val="nil"/>
              <w:left w:val="nil"/>
              <w:bottom w:val="nil"/>
              <w:right w:val="nil"/>
            </w:tcBorders>
            <w:shd w:val="clear" w:color="auto" w:fill="auto"/>
            <w:noWrap/>
            <w:vAlign w:val="center"/>
          </w:tcPr>
          <w:p w14:paraId="60A788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费率：</w:t>
            </w:r>
            <w:r>
              <w:rPr>
                <w:rStyle w:val="6"/>
                <w:rFonts w:eastAsia="宋体"/>
                <w:lang w:val="en-US" w:eastAsia="zh-CN" w:bidi="ar"/>
              </w:rPr>
              <w:t xml:space="preserve">   ‰</w:t>
            </w:r>
          </w:p>
        </w:tc>
      </w:tr>
      <w:tr w14:paraId="0B009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1"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140A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序号</w:t>
            </w:r>
          </w:p>
        </w:tc>
        <w:tc>
          <w:tcPr>
            <w:tcW w:w="119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A88C2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咨询项目</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F10F2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收费基础</w:t>
            </w:r>
          </w:p>
        </w:tc>
        <w:tc>
          <w:tcPr>
            <w:tcW w:w="117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CF936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工程类型</w:t>
            </w:r>
          </w:p>
        </w:tc>
        <w:tc>
          <w:tcPr>
            <w:tcW w:w="397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CB5DBC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单位工程金额</w:t>
            </w:r>
            <w:r>
              <w:rPr>
                <w:rStyle w:val="7"/>
                <w:rFonts w:eastAsia="宋体"/>
                <w:lang w:val="en-US" w:eastAsia="zh-CN" w:bidi="ar"/>
              </w:rPr>
              <w:t>(</w:t>
            </w:r>
            <w:r>
              <w:rPr>
                <w:rStyle w:val="8"/>
                <w:lang w:val="en-US" w:eastAsia="zh-CN" w:bidi="ar"/>
              </w:rPr>
              <w:t>万元</w:t>
            </w:r>
            <w:r>
              <w:rPr>
                <w:rStyle w:val="7"/>
                <w:rFonts w:eastAsia="宋体"/>
                <w:lang w:val="en-US" w:eastAsia="zh-CN" w:bidi="ar"/>
              </w:rPr>
              <w:t>)</w:t>
            </w:r>
          </w:p>
        </w:tc>
        <w:tc>
          <w:tcPr>
            <w:tcW w:w="244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F74D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服    务    内    容</w:t>
            </w:r>
          </w:p>
        </w:tc>
      </w:tr>
      <w:tr w14:paraId="25497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7"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BF014">
            <w:pPr>
              <w:jc w:val="center"/>
              <w:rPr>
                <w:rFonts w:hint="eastAsia" w:ascii="宋体" w:hAnsi="宋体" w:eastAsia="宋体" w:cs="宋体"/>
                <w:i w:val="0"/>
                <w:iCs w:val="0"/>
                <w:color w:val="000000"/>
                <w:sz w:val="12"/>
                <w:szCs w:val="12"/>
                <w:u w:val="none"/>
              </w:rPr>
            </w:pPr>
          </w:p>
        </w:tc>
        <w:tc>
          <w:tcPr>
            <w:tcW w:w="119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E2A6B">
            <w:pPr>
              <w:jc w:val="center"/>
              <w:rPr>
                <w:rFonts w:hint="eastAsia" w:ascii="宋体" w:hAnsi="宋体" w:eastAsia="宋体" w:cs="宋体"/>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E27A7">
            <w:pPr>
              <w:jc w:val="center"/>
              <w:rPr>
                <w:rFonts w:hint="eastAsia" w:ascii="宋体" w:hAnsi="宋体" w:eastAsia="宋体" w:cs="宋体"/>
                <w:i w:val="0"/>
                <w:iCs w:val="0"/>
                <w:color w:val="000000"/>
                <w:sz w:val="12"/>
                <w:szCs w:val="12"/>
                <w:u w:val="none"/>
              </w:rPr>
            </w:pP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F8D7D">
            <w:pPr>
              <w:jc w:val="center"/>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A9A9A">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8395">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6F838">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500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1537C">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1000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8E256">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2000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CABBE">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5000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F3B9">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10000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CDECE">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10000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以上</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8BFC4">
            <w:pPr>
              <w:jc w:val="center"/>
              <w:rPr>
                <w:rFonts w:hint="eastAsia" w:ascii="宋体" w:hAnsi="宋体" w:eastAsia="宋体" w:cs="宋体"/>
                <w:i w:val="0"/>
                <w:iCs w:val="0"/>
                <w:color w:val="000000"/>
                <w:sz w:val="12"/>
                <w:szCs w:val="12"/>
                <w:u w:val="none"/>
              </w:rPr>
            </w:pPr>
          </w:p>
        </w:tc>
      </w:tr>
      <w:tr w14:paraId="2A214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F5FF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w:t>
            </w:r>
          </w:p>
        </w:tc>
        <w:tc>
          <w:tcPr>
            <w:tcW w:w="1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30CBAD">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可行性项目投资估算</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4A15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估算价</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65592">
            <w:pPr>
              <w:rPr>
                <w:rFonts w:hint="eastAsia" w:ascii="宋体" w:hAnsi="宋体" w:eastAsia="宋体" w:cs="宋体"/>
                <w:i w:val="0"/>
                <w:iCs w:val="0"/>
                <w:color w:val="000000"/>
                <w:sz w:val="12"/>
                <w:szCs w:val="12"/>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1DFB8">
            <w:pPr>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38698">
            <w:pPr>
              <w:jc w:val="right"/>
              <w:rPr>
                <w:rFonts w:hint="eastAsia" w:ascii="宋体" w:hAnsi="宋体" w:eastAsia="宋体" w:cs="宋体"/>
                <w:b/>
                <w:bCs/>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8FBB9">
            <w:pPr>
              <w:jc w:val="right"/>
              <w:rPr>
                <w:rFonts w:hint="eastAsia" w:ascii="宋体" w:hAnsi="宋体" w:eastAsia="宋体" w:cs="宋体"/>
                <w:b/>
                <w:bCs/>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E3284">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1.7</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9876C">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1.5</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180B2">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8A152">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2431">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0.9</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B718D">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0.7</w:t>
            </w:r>
          </w:p>
        </w:tc>
        <w:tc>
          <w:tcPr>
            <w:tcW w:w="2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1B46CA">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调查、收集资料，完成和出具投资估算或可行性经济评价报告</w:t>
            </w:r>
          </w:p>
        </w:tc>
      </w:tr>
      <w:tr w14:paraId="430B7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3F91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w:t>
            </w:r>
          </w:p>
        </w:tc>
        <w:tc>
          <w:tcPr>
            <w:tcW w:w="1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4000D1">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项目经济评价</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FC1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估算价</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CF938">
            <w:pPr>
              <w:rPr>
                <w:rFonts w:hint="eastAsia" w:ascii="宋体" w:hAnsi="宋体" w:eastAsia="宋体" w:cs="宋体"/>
                <w:i w:val="0"/>
                <w:iCs w:val="0"/>
                <w:color w:val="000000"/>
                <w:sz w:val="12"/>
                <w:szCs w:val="12"/>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E1B16">
            <w:pPr>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013F3">
            <w:pPr>
              <w:jc w:val="right"/>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8E92">
            <w:pPr>
              <w:jc w:val="right"/>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C434B">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8DF96">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FB21">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9A9FF">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22CE3">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B00F">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0.8</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202D3">
            <w:pPr>
              <w:jc w:val="left"/>
              <w:rPr>
                <w:rFonts w:hint="eastAsia" w:ascii="宋体" w:hAnsi="宋体" w:eastAsia="宋体" w:cs="宋体"/>
                <w:i w:val="0"/>
                <w:iCs w:val="0"/>
                <w:color w:val="000000"/>
                <w:sz w:val="12"/>
                <w:szCs w:val="12"/>
                <w:u w:val="none"/>
              </w:rPr>
            </w:pPr>
          </w:p>
        </w:tc>
      </w:tr>
      <w:tr w14:paraId="02711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1"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CE41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w:t>
            </w:r>
          </w:p>
        </w:tc>
        <w:tc>
          <w:tcPr>
            <w:tcW w:w="1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D23391">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工程项目设计概算</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7622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概算价</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39C2C">
            <w:pPr>
              <w:rPr>
                <w:rFonts w:hint="eastAsia" w:ascii="宋体" w:hAnsi="宋体" w:eastAsia="宋体" w:cs="宋体"/>
                <w:i w:val="0"/>
                <w:iCs w:val="0"/>
                <w:color w:val="000000"/>
                <w:sz w:val="12"/>
                <w:szCs w:val="12"/>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EDAD1">
            <w:pPr>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6AC9C">
            <w:pPr>
              <w:jc w:val="right"/>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FDEF7">
            <w:pPr>
              <w:jc w:val="right"/>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E6961">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0E85F">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8D19D">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65995">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1.4</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04E30">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430B0">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w:t>
            </w:r>
          </w:p>
        </w:tc>
        <w:tc>
          <w:tcPr>
            <w:tcW w:w="2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D2DBC">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收集资料，根据初步设计图计算或复核工程量进行工料分析，出具工程概算书或审核报告</w:t>
            </w:r>
          </w:p>
        </w:tc>
      </w:tr>
      <w:tr w14:paraId="482ED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C99B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4</w:t>
            </w:r>
          </w:p>
        </w:tc>
        <w:tc>
          <w:tcPr>
            <w:tcW w:w="3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7C20CC">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定额计价</w:t>
            </w: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E3D5DB">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工程预算、结算、标底编制</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CE87F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工程造价</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FDBE5">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建筑工程</w:t>
            </w: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11062">
            <w:pPr>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A9747">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4</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5BCC8">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3.6</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E7BB9">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3.2</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DF8E0">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C0A51">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2.5</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2B3B6">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B62B2">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07E9A">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1.9</w:t>
            </w:r>
          </w:p>
        </w:tc>
        <w:tc>
          <w:tcPr>
            <w:tcW w:w="2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A039FA">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收集资料，根据施工图或施工技术规范计算工程量，进行工料分析</w:t>
            </w:r>
          </w:p>
        </w:tc>
      </w:tr>
      <w:tr w14:paraId="6EA78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23C99">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A3E7B">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51006">
            <w:pPr>
              <w:jc w:val="left"/>
              <w:rPr>
                <w:rFonts w:hint="eastAsia" w:ascii="宋体" w:hAnsi="宋体" w:eastAsia="宋体" w:cs="宋体"/>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796FD">
            <w:pPr>
              <w:jc w:val="center"/>
              <w:rPr>
                <w:rFonts w:hint="eastAsia" w:ascii="宋体" w:hAnsi="宋体" w:eastAsia="宋体" w:cs="宋体"/>
                <w:i w:val="0"/>
                <w:iCs w:val="0"/>
                <w:color w:val="000000"/>
                <w:sz w:val="12"/>
                <w:szCs w:val="12"/>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52BBD">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安装工程</w:t>
            </w: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70A1B">
            <w:pPr>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C88C6">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4.2</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2EDED">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3.8</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DA592">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15084">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B0935">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C0828">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2.4</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59E9">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B9D0B">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F1F06">
            <w:pPr>
              <w:jc w:val="left"/>
              <w:rPr>
                <w:rFonts w:hint="eastAsia" w:ascii="宋体" w:hAnsi="宋体" w:eastAsia="宋体" w:cs="宋体"/>
                <w:i w:val="0"/>
                <w:iCs w:val="0"/>
                <w:color w:val="000000"/>
                <w:sz w:val="12"/>
                <w:szCs w:val="12"/>
                <w:u w:val="none"/>
              </w:rPr>
            </w:pPr>
          </w:p>
        </w:tc>
      </w:tr>
      <w:tr w14:paraId="68CAF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BD92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5</w:t>
            </w: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8132C">
            <w:pPr>
              <w:jc w:val="left"/>
              <w:rPr>
                <w:rFonts w:hint="eastAsia" w:ascii="宋体" w:hAnsi="宋体" w:eastAsia="宋体" w:cs="宋体"/>
                <w:i w:val="0"/>
                <w:iCs w:val="0"/>
                <w:color w:val="000000"/>
                <w:sz w:val="12"/>
                <w:szCs w:val="12"/>
                <w:u w:val="none"/>
              </w:rPr>
            </w:pP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FEB3D0">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工程预算、结算、标底审核</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947C3D">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工程造价</w:t>
            </w:r>
          </w:p>
        </w:tc>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8DE355">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(1)基本收费</w:t>
            </w: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FE0D6">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建筑工程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39F5F">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3</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FBD3">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2.6</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20D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2.1</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7F43C">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8283C">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F586C">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C2EB7">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E5F5E">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0.9</w:t>
            </w:r>
          </w:p>
        </w:tc>
        <w:tc>
          <w:tcPr>
            <w:tcW w:w="2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27DA9F">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完成计价，出具工程概算书或工程结算书</w:t>
            </w:r>
          </w:p>
        </w:tc>
      </w:tr>
      <w:tr w14:paraId="01D31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4E9EE">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0EB40">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127C4">
            <w:pPr>
              <w:jc w:val="left"/>
              <w:rPr>
                <w:rFonts w:hint="eastAsia" w:ascii="宋体" w:hAnsi="宋体" w:eastAsia="宋体" w:cs="宋体"/>
                <w:b/>
                <w:bCs/>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4F970">
            <w:pPr>
              <w:jc w:val="center"/>
              <w:rPr>
                <w:rFonts w:hint="eastAsia" w:ascii="宋体" w:hAnsi="宋体" w:eastAsia="宋体" w:cs="宋体"/>
                <w:b/>
                <w:bCs/>
                <w:i w:val="0"/>
                <w:iCs w:val="0"/>
                <w:color w:val="000000"/>
                <w:sz w:val="12"/>
                <w:szCs w:val="12"/>
                <w:u w:val="none"/>
              </w:rPr>
            </w:pP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41BA0">
            <w:pPr>
              <w:jc w:val="left"/>
              <w:rPr>
                <w:rFonts w:hint="eastAsia" w:ascii="宋体" w:hAnsi="宋体" w:eastAsia="宋体" w:cs="宋体"/>
                <w:b/>
                <w:bCs/>
                <w:i w:val="0"/>
                <w:iCs w:val="0"/>
                <w:color w:val="000000"/>
                <w:sz w:val="12"/>
                <w:szCs w:val="12"/>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80948">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安装工程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6185F">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3.2</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B8677">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2.8</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4407B">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E38E">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09D41">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CADB1">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1.4</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A4BD">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5E8AF">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F4145">
            <w:pPr>
              <w:jc w:val="left"/>
              <w:rPr>
                <w:rFonts w:hint="eastAsia" w:ascii="宋体" w:hAnsi="宋体" w:eastAsia="宋体" w:cs="宋体"/>
                <w:i w:val="0"/>
                <w:iCs w:val="0"/>
                <w:color w:val="000000"/>
                <w:sz w:val="12"/>
                <w:szCs w:val="12"/>
                <w:u w:val="none"/>
              </w:rPr>
            </w:pPr>
          </w:p>
        </w:tc>
      </w:tr>
      <w:tr w14:paraId="3EB0A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F92AD">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7B51E">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8917A">
            <w:pPr>
              <w:jc w:val="left"/>
              <w:rPr>
                <w:rFonts w:hint="eastAsia" w:ascii="宋体" w:hAnsi="宋体" w:eastAsia="宋体" w:cs="宋体"/>
                <w:b/>
                <w:bCs/>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45924">
            <w:pPr>
              <w:jc w:val="center"/>
              <w:rPr>
                <w:rFonts w:hint="eastAsia" w:ascii="宋体" w:hAnsi="宋体" w:eastAsia="宋体" w:cs="宋体"/>
                <w:b/>
                <w:bCs/>
                <w:i w:val="0"/>
                <w:iCs w:val="0"/>
                <w:color w:val="000000"/>
                <w:sz w:val="12"/>
                <w:szCs w:val="12"/>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3EC62">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(2)审核增减额</w:t>
            </w:r>
          </w:p>
        </w:tc>
        <w:tc>
          <w:tcPr>
            <w:tcW w:w="3973"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90CE1">
            <w:pPr>
              <w:keepNext w:val="0"/>
              <w:keepLines w:val="0"/>
              <w:widowControl/>
              <w:suppressLineNumbers w:val="0"/>
              <w:jc w:val="center"/>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5%</w:t>
            </w:r>
          </w:p>
        </w:tc>
        <w:tc>
          <w:tcPr>
            <w:tcW w:w="2441" w:type="dxa"/>
            <w:tcBorders>
              <w:top w:val="single" w:color="000000" w:sz="4" w:space="0"/>
              <w:left w:val="single" w:color="000000" w:sz="4" w:space="0"/>
              <w:bottom w:val="single" w:color="000000" w:sz="4" w:space="0"/>
              <w:right w:val="single" w:color="000000" w:sz="4" w:space="0"/>
            </w:tcBorders>
            <w:shd w:val="clear" w:color="auto" w:fill="auto"/>
            <w:vAlign w:val="top"/>
          </w:tcPr>
          <w:p w14:paraId="454B6086">
            <w:pPr>
              <w:rPr>
                <w:rFonts w:hint="eastAsia" w:ascii="宋体" w:hAnsi="宋体" w:eastAsia="宋体" w:cs="宋体"/>
                <w:i w:val="0"/>
                <w:iCs w:val="0"/>
                <w:color w:val="000000"/>
                <w:sz w:val="12"/>
                <w:szCs w:val="12"/>
                <w:u w:val="none"/>
              </w:rPr>
            </w:pPr>
          </w:p>
        </w:tc>
      </w:tr>
      <w:tr w14:paraId="5EA6E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D922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6</w:t>
            </w:r>
          </w:p>
        </w:tc>
        <w:tc>
          <w:tcPr>
            <w:tcW w:w="3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4752AF">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清单计价</w:t>
            </w: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A39B7">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工程量清单编制</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2DFF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中标价</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767D0E">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建筑工程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47125">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4.8</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A3FA4">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4.3</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0C6EF">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215C9">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EFE5E">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EE93E">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2.8</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12110">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2.5</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F7360">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2.3</w:t>
            </w:r>
          </w:p>
        </w:tc>
        <w:tc>
          <w:tcPr>
            <w:tcW w:w="2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F9C144">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⒈工程量清单编制。根据“计价规范”及施工图编制拟建工程的分部分项项目、措施项目、项目编码、项目名称、单位和相应数量明细清单；</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⒉控制价(标底价)应根据招标文件及提供的工程量清单，进行分部分项综合单价分析、措施项目分析，各项合价、总价等，完成工程量清单所需的全部费用；</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⒊工程结算编制，根据合同条款及投标报价、工程实施过程是发生的设计变更、现场签证、设备的价格变化及建筑经济政策的变化进行编制；</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⒋工程结算审核，可提供的工程结算资料，特别是综合单价的分析、设计变更及经济签证进行真实性、合理性审核</w:t>
            </w:r>
          </w:p>
        </w:tc>
      </w:tr>
      <w:tr w14:paraId="4441F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EFDEF">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254E2">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828F2">
            <w:pPr>
              <w:jc w:val="left"/>
              <w:rPr>
                <w:rFonts w:hint="eastAsia" w:ascii="宋体" w:hAnsi="宋体" w:eastAsia="宋体" w:cs="宋体"/>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9448B">
            <w:pPr>
              <w:jc w:val="center"/>
              <w:rPr>
                <w:rFonts w:hint="eastAsia" w:ascii="宋体" w:hAnsi="宋体" w:eastAsia="宋体" w:cs="宋体"/>
                <w:i w:val="0"/>
                <w:iCs w:val="0"/>
                <w:color w:val="000000"/>
                <w:sz w:val="12"/>
                <w:szCs w:val="12"/>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896E9">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安装工程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277F">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5</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1FE5">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4.6</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9C32B">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4D01">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0093">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3.1</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22F4">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2.9</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C24B">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2.6</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6716">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2.4</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D65AF">
            <w:pPr>
              <w:jc w:val="left"/>
              <w:rPr>
                <w:rFonts w:hint="eastAsia" w:ascii="宋体" w:hAnsi="宋体" w:eastAsia="宋体" w:cs="宋体"/>
                <w:i w:val="0"/>
                <w:iCs w:val="0"/>
                <w:color w:val="000000"/>
                <w:sz w:val="12"/>
                <w:szCs w:val="12"/>
                <w:u w:val="none"/>
              </w:rPr>
            </w:pPr>
          </w:p>
        </w:tc>
      </w:tr>
      <w:tr w14:paraId="599B5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03432">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1D6B4">
            <w:pPr>
              <w:jc w:val="left"/>
              <w:rPr>
                <w:rFonts w:hint="eastAsia" w:ascii="宋体" w:hAnsi="宋体" w:eastAsia="宋体" w:cs="宋体"/>
                <w:i w:val="0"/>
                <w:iCs w:val="0"/>
                <w:color w:val="000000"/>
                <w:sz w:val="12"/>
                <w:szCs w:val="12"/>
                <w:u w:val="none"/>
              </w:rPr>
            </w:pP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6B1E2">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控制价(标底价)</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F6188">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中标价</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BA8D19">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建筑工程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978F5">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D897">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1.8</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C24B">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5085">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50141">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7F2D">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5A3F6">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88483">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31F37">
            <w:pPr>
              <w:jc w:val="left"/>
              <w:rPr>
                <w:rFonts w:hint="eastAsia" w:ascii="宋体" w:hAnsi="宋体" w:eastAsia="宋体" w:cs="宋体"/>
                <w:i w:val="0"/>
                <w:iCs w:val="0"/>
                <w:color w:val="000000"/>
                <w:sz w:val="12"/>
                <w:szCs w:val="12"/>
                <w:u w:val="none"/>
              </w:rPr>
            </w:pPr>
          </w:p>
        </w:tc>
      </w:tr>
      <w:tr w14:paraId="5412F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F90C5">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2A615">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DD70A">
            <w:pPr>
              <w:jc w:val="left"/>
              <w:rPr>
                <w:rFonts w:hint="eastAsia" w:ascii="宋体" w:hAnsi="宋体" w:eastAsia="宋体" w:cs="宋体"/>
                <w:b/>
                <w:bCs/>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D4F93">
            <w:pPr>
              <w:jc w:val="center"/>
              <w:rPr>
                <w:rFonts w:hint="eastAsia" w:ascii="宋体" w:hAnsi="宋体" w:eastAsia="宋体" w:cs="宋体"/>
                <w:b/>
                <w:bCs/>
                <w:i w:val="0"/>
                <w:iCs w:val="0"/>
                <w:color w:val="000000"/>
                <w:sz w:val="12"/>
                <w:szCs w:val="12"/>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441FDF">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安装工程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75C78">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2.1</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63BAB">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1.9</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ADFC0">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1.7</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D1B9">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03F3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9C80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0B26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8AE9D">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1.1</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54A39">
            <w:pPr>
              <w:jc w:val="left"/>
              <w:rPr>
                <w:rFonts w:hint="eastAsia" w:ascii="宋体" w:hAnsi="宋体" w:eastAsia="宋体" w:cs="宋体"/>
                <w:i w:val="0"/>
                <w:iCs w:val="0"/>
                <w:color w:val="000000"/>
                <w:sz w:val="12"/>
                <w:szCs w:val="12"/>
                <w:u w:val="none"/>
              </w:rPr>
            </w:pPr>
          </w:p>
        </w:tc>
      </w:tr>
      <w:tr w14:paraId="03229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6DA81">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C3830">
            <w:pPr>
              <w:jc w:val="left"/>
              <w:rPr>
                <w:rFonts w:hint="eastAsia" w:ascii="宋体" w:hAnsi="宋体" w:eastAsia="宋体" w:cs="宋体"/>
                <w:i w:val="0"/>
                <w:iCs w:val="0"/>
                <w:color w:val="000000"/>
                <w:sz w:val="12"/>
                <w:szCs w:val="12"/>
                <w:u w:val="none"/>
              </w:rPr>
            </w:pP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AB01C">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工程结算编制</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E0A9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工程造价</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368565">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建筑工程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92552">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905F9">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2.6</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D3B96">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2.1</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87807">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0294D">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8EF0B">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E757">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C3788">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0.9</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1DC18">
            <w:pPr>
              <w:jc w:val="left"/>
              <w:rPr>
                <w:rFonts w:hint="eastAsia" w:ascii="宋体" w:hAnsi="宋体" w:eastAsia="宋体" w:cs="宋体"/>
                <w:i w:val="0"/>
                <w:iCs w:val="0"/>
                <w:color w:val="000000"/>
                <w:sz w:val="12"/>
                <w:szCs w:val="12"/>
                <w:u w:val="none"/>
              </w:rPr>
            </w:pPr>
          </w:p>
        </w:tc>
      </w:tr>
      <w:tr w14:paraId="3B848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332F2">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54BC6">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FFC9C">
            <w:pPr>
              <w:jc w:val="left"/>
              <w:rPr>
                <w:rFonts w:hint="eastAsia" w:ascii="宋体" w:hAnsi="宋体" w:eastAsia="宋体" w:cs="宋体"/>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CA636">
            <w:pPr>
              <w:jc w:val="center"/>
              <w:rPr>
                <w:rFonts w:hint="eastAsia" w:ascii="宋体" w:hAnsi="宋体" w:eastAsia="宋体" w:cs="宋体"/>
                <w:i w:val="0"/>
                <w:iCs w:val="0"/>
                <w:color w:val="000000"/>
                <w:sz w:val="12"/>
                <w:szCs w:val="12"/>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749BD2">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安装工程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AB5ED">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3.2</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A05C">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2.8</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3C4C">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004E8">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4B0AC">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29A9E">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1.4</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A4D99">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34DBA">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081EE">
            <w:pPr>
              <w:jc w:val="left"/>
              <w:rPr>
                <w:rFonts w:hint="eastAsia" w:ascii="宋体" w:hAnsi="宋体" w:eastAsia="宋体" w:cs="宋体"/>
                <w:i w:val="0"/>
                <w:iCs w:val="0"/>
                <w:color w:val="000000"/>
                <w:sz w:val="12"/>
                <w:szCs w:val="12"/>
                <w:u w:val="none"/>
              </w:rPr>
            </w:pPr>
          </w:p>
        </w:tc>
      </w:tr>
      <w:tr w14:paraId="1345E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409F7">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2A8DC">
            <w:pPr>
              <w:jc w:val="left"/>
              <w:rPr>
                <w:rFonts w:hint="eastAsia" w:ascii="宋体" w:hAnsi="宋体" w:eastAsia="宋体" w:cs="宋体"/>
                <w:i w:val="0"/>
                <w:iCs w:val="0"/>
                <w:color w:val="000000"/>
                <w:sz w:val="12"/>
                <w:szCs w:val="12"/>
                <w:u w:val="none"/>
              </w:rPr>
            </w:pP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0DA8A3">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工程量清单结算审核</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6B4A0">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送审工程造价</w:t>
            </w:r>
          </w:p>
        </w:tc>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CB456C">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(1)基本收费</w:t>
            </w: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5D882">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建筑工程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DEF27">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3.4</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31E3">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3.1</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5FB48">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2.7</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0E910">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0280E">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2.1</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9C61D">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1.9</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4167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1.8</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5173C">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1.6</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EB916">
            <w:pPr>
              <w:jc w:val="left"/>
              <w:rPr>
                <w:rFonts w:hint="eastAsia" w:ascii="宋体" w:hAnsi="宋体" w:eastAsia="宋体" w:cs="宋体"/>
                <w:i w:val="0"/>
                <w:iCs w:val="0"/>
                <w:color w:val="000000"/>
                <w:sz w:val="12"/>
                <w:szCs w:val="12"/>
                <w:u w:val="none"/>
              </w:rPr>
            </w:pPr>
          </w:p>
        </w:tc>
      </w:tr>
      <w:tr w14:paraId="28BBF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EDD25">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DDCF4">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61F47">
            <w:pPr>
              <w:jc w:val="left"/>
              <w:rPr>
                <w:rFonts w:hint="eastAsia" w:ascii="宋体" w:hAnsi="宋体" w:eastAsia="宋体" w:cs="宋体"/>
                <w:b/>
                <w:bCs/>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7C3B0">
            <w:pPr>
              <w:jc w:val="center"/>
              <w:rPr>
                <w:rFonts w:hint="eastAsia" w:ascii="宋体" w:hAnsi="宋体" w:eastAsia="宋体" w:cs="宋体"/>
                <w:b/>
                <w:bCs/>
                <w:i w:val="0"/>
                <w:iCs w:val="0"/>
                <w:color w:val="000000"/>
                <w:sz w:val="12"/>
                <w:szCs w:val="12"/>
                <w:u w:val="none"/>
              </w:rPr>
            </w:pP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7F7DA">
            <w:pPr>
              <w:jc w:val="left"/>
              <w:rPr>
                <w:rFonts w:hint="eastAsia" w:ascii="宋体" w:hAnsi="宋体" w:eastAsia="宋体" w:cs="宋体"/>
                <w:b/>
                <w:bCs/>
                <w:i w:val="0"/>
                <w:iCs w:val="0"/>
                <w:color w:val="000000"/>
                <w:sz w:val="12"/>
                <w:szCs w:val="12"/>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C61D5">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安装工程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C6251">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3.6</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7F131">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3.2</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81BA">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9E86">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80C0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1BC1">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6932A">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1.9</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C14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1.8</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E37CA">
            <w:pPr>
              <w:jc w:val="left"/>
              <w:rPr>
                <w:rFonts w:hint="eastAsia" w:ascii="宋体" w:hAnsi="宋体" w:eastAsia="宋体" w:cs="宋体"/>
                <w:i w:val="0"/>
                <w:iCs w:val="0"/>
                <w:color w:val="000000"/>
                <w:sz w:val="12"/>
                <w:szCs w:val="12"/>
                <w:u w:val="none"/>
              </w:rPr>
            </w:pPr>
          </w:p>
        </w:tc>
      </w:tr>
      <w:tr w14:paraId="6233B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52CB4">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74211">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16AF0">
            <w:pPr>
              <w:jc w:val="left"/>
              <w:rPr>
                <w:rFonts w:hint="eastAsia" w:ascii="宋体" w:hAnsi="宋体" w:eastAsia="宋体" w:cs="宋体"/>
                <w:b/>
                <w:bCs/>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C0F27">
            <w:pPr>
              <w:jc w:val="center"/>
              <w:rPr>
                <w:rFonts w:hint="eastAsia" w:ascii="宋体" w:hAnsi="宋体" w:eastAsia="宋体" w:cs="宋体"/>
                <w:b/>
                <w:bCs/>
                <w:i w:val="0"/>
                <w:iCs w:val="0"/>
                <w:color w:val="000000"/>
                <w:sz w:val="12"/>
                <w:szCs w:val="12"/>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032A6">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(2)审核增减额</w:t>
            </w:r>
          </w:p>
        </w:tc>
        <w:tc>
          <w:tcPr>
            <w:tcW w:w="3973"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739AE">
            <w:pPr>
              <w:keepNext w:val="0"/>
              <w:keepLines w:val="0"/>
              <w:widowControl/>
              <w:suppressLineNumbers w:val="0"/>
              <w:jc w:val="center"/>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5%</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6E9B7">
            <w:pPr>
              <w:jc w:val="left"/>
              <w:rPr>
                <w:rFonts w:hint="eastAsia" w:ascii="宋体" w:hAnsi="宋体" w:eastAsia="宋体" w:cs="宋体"/>
                <w:i w:val="0"/>
                <w:iCs w:val="0"/>
                <w:color w:val="000000"/>
                <w:sz w:val="12"/>
                <w:szCs w:val="12"/>
                <w:u w:val="none"/>
              </w:rPr>
            </w:pPr>
          </w:p>
        </w:tc>
      </w:tr>
      <w:tr w14:paraId="1322A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1"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147C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7</w:t>
            </w:r>
          </w:p>
        </w:tc>
        <w:tc>
          <w:tcPr>
            <w:tcW w:w="119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8D552E">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施工阶段全过程工程造价控制</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90AAC">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工程造价</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C58CB">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建筑工程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0805F">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面议</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AF4E">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面议</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A97D7">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10</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0163">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9</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5068">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FE080">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7</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99E3">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6</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F6DF">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5</w:t>
            </w:r>
          </w:p>
        </w:tc>
        <w:tc>
          <w:tcPr>
            <w:tcW w:w="2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6EEB48">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⒈根据施工承包合同价、进度计划，编制工程用款计划书；⒉制定造价控制的实施细则，确定控制目标；⒊参与工程造价控制的有关会议；⒋负责对施工单位上报的已完成工作量月报进行审核，并提供当月付款建议书；⒌承、发包双方提出索赔时，为委托方提供咨询意见；⒍协助业主及时审核设计变更、现场签证等发生的费用，相应调整造价控制目标；⒎及时核定分阶段完工的分部工程结算，提供完整结算报告</w:t>
            </w:r>
          </w:p>
        </w:tc>
      </w:tr>
      <w:tr w14:paraId="735D9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9"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BDDC9">
            <w:pPr>
              <w:jc w:val="center"/>
              <w:rPr>
                <w:rFonts w:hint="eastAsia" w:ascii="宋体" w:hAnsi="宋体" w:eastAsia="宋体" w:cs="宋体"/>
                <w:i w:val="0"/>
                <w:iCs w:val="0"/>
                <w:color w:val="000000"/>
                <w:sz w:val="12"/>
                <w:szCs w:val="12"/>
                <w:u w:val="none"/>
              </w:rPr>
            </w:pPr>
          </w:p>
        </w:tc>
        <w:tc>
          <w:tcPr>
            <w:tcW w:w="119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4B855">
            <w:pPr>
              <w:jc w:val="left"/>
              <w:rPr>
                <w:rFonts w:hint="eastAsia" w:ascii="宋体" w:hAnsi="宋体" w:eastAsia="宋体" w:cs="宋体"/>
                <w:b/>
                <w:bCs/>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4ECE5">
            <w:pPr>
              <w:jc w:val="center"/>
              <w:rPr>
                <w:rFonts w:hint="eastAsia" w:ascii="宋体" w:hAnsi="宋体" w:eastAsia="宋体" w:cs="宋体"/>
                <w:b/>
                <w:bCs/>
                <w:i w:val="0"/>
                <w:iCs w:val="0"/>
                <w:color w:val="000000"/>
                <w:sz w:val="12"/>
                <w:szCs w:val="12"/>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3B737">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安装工程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F1107">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面议</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D253F">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面议</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73C55">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11</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04DE7">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10</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63CE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9</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6239A">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8</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6CA90">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7</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A0FC5">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6</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C2B07">
            <w:pPr>
              <w:jc w:val="left"/>
              <w:rPr>
                <w:rFonts w:hint="eastAsia" w:ascii="宋体" w:hAnsi="宋体" w:eastAsia="宋体" w:cs="宋体"/>
                <w:i w:val="0"/>
                <w:iCs w:val="0"/>
                <w:color w:val="000000"/>
                <w:sz w:val="12"/>
                <w:szCs w:val="12"/>
                <w:u w:val="none"/>
              </w:rPr>
            </w:pPr>
          </w:p>
        </w:tc>
      </w:tr>
      <w:tr w14:paraId="4B6A2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6B9F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8</w:t>
            </w:r>
          </w:p>
        </w:tc>
        <w:tc>
          <w:tcPr>
            <w:tcW w:w="1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10C4B5">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钢筋及预埋件计算</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A6E44">
            <w:pPr>
              <w:jc w:val="center"/>
              <w:rPr>
                <w:rFonts w:hint="eastAsia" w:ascii="宋体" w:hAnsi="宋体" w:eastAsia="宋体" w:cs="宋体"/>
                <w:i w:val="0"/>
                <w:iCs w:val="0"/>
                <w:color w:val="000000"/>
                <w:sz w:val="12"/>
                <w:szCs w:val="12"/>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1D513">
            <w:pPr>
              <w:rPr>
                <w:rFonts w:hint="eastAsia" w:ascii="宋体" w:hAnsi="宋体" w:eastAsia="宋体" w:cs="宋体"/>
                <w:i w:val="0"/>
                <w:iCs w:val="0"/>
                <w:color w:val="000000"/>
                <w:sz w:val="12"/>
                <w:szCs w:val="12"/>
                <w:u w:val="none"/>
              </w:rPr>
            </w:pPr>
          </w:p>
        </w:tc>
        <w:tc>
          <w:tcPr>
            <w:tcW w:w="3406"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15B8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10元/吨</w:t>
            </w:r>
          </w:p>
        </w:tc>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3F11">
            <w:pPr>
              <w:rPr>
                <w:rFonts w:hint="eastAsia" w:ascii="宋体" w:hAnsi="宋体" w:eastAsia="宋体" w:cs="宋体"/>
                <w:i w:val="0"/>
                <w:iCs w:val="0"/>
                <w:color w:val="000000"/>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CB13E">
            <w:pPr>
              <w:rPr>
                <w:rFonts w:hint="eastAsia" w:ascii="宋体" w:hAnsi="宋体" w:eastAsia="宋体" w:cs="宋体"/>
                <w:i w:val="0"/>
                <w:iCs w:val="0"/>
                <w:color w:val="000000"/>
                <w:sz w:val="12"/>
                <w:szCs w:val="12"/>
                <w:u w:val="none"/>
              </w:rPr>
            </w:pPr>
          </w:p>
        </w:tc>
        <w:tc>
          <w:tcPr>
            <w:tcW w:w="2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80775">
            <w:pPr>
              <w:rPr>
                <w:rFonts w:hint="eastAsia" w:ascii="宋体" w:hAnsi="宋体" w:eastAsia="宋体" w:cs="宋体"/>
                <w:i w:val="0"/>
                <w:iCs w:val="0"/>
                <w:color w:val="000000"/>
                <w:sz w:val="12"/>
                <w:szCs w:val="12"/>
                <w:u w:val="none"/>
              </w:rPr>
            </w:pPr>
          </w:p>
        </w:tc>
      </w:tr>
      <w:tr w14:paraId="3CE36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3EE6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9</w:t>
            </w:r>
          </w:p>
        </w:tc>
        <w:tc>
          <w:tcPr>
            <w:tcW w:w="1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DD9F36">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工程经济纠纷案件鉴证</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EEDC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涉案金额</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08D5">
            <w:pPr>
              <w:rPr>
                <w:rFonts w:hint="eastAsia" w:ascii="宋体" w:hAnsi="宋体" w:eastAsia="宋体" w:cs="宋体"/>
                <w:i w:val="0"/>
                <w:iCs w:val="0"/>
                <w:color w:val="000000"/>
                <w:sz w:val="12"/>
                <w:szCs w:val="12"/>
                <w:u w:val="none"/>
              </w:rPr>
            </w:pPr>
          </w:p>
        </w:tc>
        <w:tc>
          <w:tcPr>
            <w:tcW w:w="3406"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0DE8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按涉案金额的10%～3%计算</w:t>
            </w:r>
          </w:p>
        </w:tc>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5EBE5">
            <w:pPr>
              <w:rPr>
                <w:rFonts w:hint="eastAsia" w:ascii="宋体" w:hAnsi="宋体" w:eastAsia="宋体" w:cs="宋体"/>
                <w:i w:val="0"/>
                <w:iCs w:val="0"/>
                <w:color w:val="000000"/>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DA376">
            <w:pPr>
              <w:rPr>
                <w:rFonts w:hint="eastAsia" w:ascii="宋体" w:hAnsi="宋体" w:eastAsia="宋体" w:cs="宋体"/>
                <w:i w:val="0"/>
                <w:iCs w:val="0"/>
                <w:color w:val="000000"/>
                <w:sz w:val="12"/>
                <w:szCs w:val="12"/>
                <w:u w:val="none"/>
              </w:rPr>
            </w:pPr>
          </w:p>
        </w:tc>
        <w:tc>
          <w:tcPr>
            <w:tcW w:w="2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1C2E">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调查取证，最终做出具体工程造价鉴证结论报告等工作</w:t>
            </w:r>
          </w:p>
        </w:tc>
      </w:tr>
      <w:tr w14:paraId="02546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2888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11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BDC74">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计时收费</w:t>
            </w:r>
          </w:p>
        </w:tc>
        <w:tc>
          <w:tcPr>
            <w:tcW w:w="8364" w:type="dxa"/>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473F4">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注册造价师为：200元/人小时  高级职称造价员为：160元/人小时 中级职称造价员为：100元/人小时</w:t>
            </w:r>
          </w:p>
        </w:tc>
      </w:tr>
      <w:tr w14:paraId="46A3A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9" w:hRule="atLeast"/>
        </w:trPr>
        <w:tc>
          <w:tcPr>
            <w:tcW w:w="9962" w:type="dxa"/>
            <w:gridSpan w:val="15"/>
            <w:tcBorders>
              <w:top w:val="nil"/>
              <w:left w:val="nil"/>
              <w:bottom w:val="nil"/>
              <w:right w:val="nil"/>
            </w:tcBorders>
            <w:shd w:val="clear" w:color="auto" w:fill="auto"/>
            <w:vAlign w:val="top"/>
          </w:tcPr>
          <w:p w14:paraId="51DA0BEB">
            <w:pPr>
              <w:keepNext w:val="0"/>
              <w:keepLines w:val="0"/>
              <w:widowControl/>
              <w:suppressLineNumbers w:val="0"/>
              <w:jc w:val="left"/>
              <w:textAlignment w:val="top"/>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注：⒈表中“工程预算、结算、标底审核”和“工程量清单结算审核”项目的计费方式为⑴+⑵。其中审增额向施工单位收取咨询费，审减额向建设单位收取咨询费。凡工程审减率超过10%的，其超过部分咨询费用由施工单位承担，无审核增减额的，按基本收费收取。咨询服务费一律由委托单位支付。</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 xml:space="preserve">    ⒉按基本收费标准不足1000元的，按1000元计费，计时收费按耗用工时计费。</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 xml:space="preserve">    ⒊计费基数以单位工程金额计算；合同包干加签证项目，包干价部分应计入计费基数。</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 xml:space="preserve">    ⒋复审是指工程造价咨询单位接受委托，对经承、发包双方确认的工程造价成果文件进行再次审核，其收费率可在初审基础上增加20%。初次审核金额以承包方提交工程造价为准。</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 xml:space="preserve">    ⒌安装工程主材按规定都应列入造价，标底要求不列的，可以扣除但不得减少编制费用。</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 xml:space="preserve">    ⒍本收费标准中的“建筑工程”适用建筑工程及配套的装饰工程、安装工程；市政工程等。“安装工程”适用单独安装工程、装饰工程（含二次装饰装修）；房屋修缮；园林绿化及仿古建筑工程等。</w:t>
            </w:r>
          </w:p>
        </w:tc>
      </w:tr>
    </w:tbl>
    <w:p w14:paraId="41EE1580">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2E5B81"/>
    <w:multiLevelType w:val="singleLevel"/>
    <w:tmpl w:val="D22E5B81"/>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1609022E"/>
    <w:rsid w:val="0165796C"/>
    <w:rsid w:val="04644F6E"/>
    <w:rsid w:val="049F227F"/>
    <w:rsid w:val="07F47462"/>
    <w:rsid w:val="1609022E"/>
    <w:rsid w:val="190B6E9A"/>
    <w:rsid w:val="1D97504E"/>
    <w:rsid w:val="200B07BE"/>
    <w:rsid w:val="213E58F3"/>
    <w:rsid w:val="267A6081"/>
    <w:rsid w:val="27A91D58"/>
    <w:rsid w:val="28000F01"/>
    <w:rsid w:val="2A701253"/>
    <w:rsid w:val="2E8B044C"/>
    <w:rsid w:val="33D95AC9"/>
    <w:rsid w:val="38011E38"/>
    <w:rsid w:val="389039EB"/>
    <w:rsid w:val="3D016313"/>
    <w:rsid w:val="3E9A4EA3"/>
    <w:rsid w:val="3EA108F8"/>
    <w:rsid w:val="434A6CCE"/>
    <w:rsid w:val="488F0FD1"/>
    <w:rsid w:val="4AB20D22"/>
    <w:rsid w:val="4BB878B4"/>
    <w:rsid w:val="56C244F1"/>
    <w:rsid w:val="570D2E66"/>
    <w:rsid w:val="57C26993"/>
    <w:rsid w:val="594238E0"/>
    <w:rsid w:val="5A6F20DD"/>
    <w:rsid w:val="5C066500"/>
    <w:rsid w:val="5E47595A"/>
    <w:rsid w:val="5ECC6739"/>
    <w:rsid w:val="5EDD3604"/>
    <w:rsid w:val="64A30647"/>
    <w:rsid w:val="668079C9"/>
    <w:rsid w:val="6A6812B5"/>
    <w:rsid w:val="6DDA5D22"/>
    <w:rsid w:val="6E573CA8"/>
    <w:rsid w:val="6E9221CF"/>
    <w:rsid w:val="6FF375E1"/>
    <w:rsid w:val="744F711F"/>
    <w:rsid w:val="75E2528E"/>
    <w:rsid w:val="76284A6C"/>
    <w:rsid w:val="76E14CCE"/>
    <w:rsid w:val="779663FE"/>
    <w:rsid w:val="7CCA4227"/>
    <w:rsid w:val="7F4D7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kern w:val="2"/>
      <w:sz w:val="21"/>
      <w:szCs w:val="24"/>
    </w:rPr>
  </w:style>
  <w:style w:type="paragraph" w:styleId="3">
    <w:name w:val="Body Text"/>
    <w:basedOn w:val="1"/>
    <w:unhideWhenUsed/>
    <w:qFormat/>
    <w:uiPriority w:val="99"/>
    <w:pPr>
      <w:spacing w:after="120"/>
    </w:pPr>
  </w:style>
  <w:style w:type="character" w:customStyle="1" w:styleId="6">
    <w:name w:val="font111"/>
    <w:basedOn w:val="5"/>
    <w:uiPriority w:val="0"/>
    <w:rPr>
      <w:rFonts w:ascii="Verdana" w:hAnsi="Verdana" w:cs="Verdana"/>
      <w:color w:val="000000"/>
      <w:sz w:val="20"/>
      <w:szCs w:val="20"/>
      <w:u w:val="none"/>
    </w:rPr>
  </w:style>
  <w:style w:type="character" w:customStyle="1" w:styleId="7">
    <w:name w:val="font41"/>
    <w:basedOn w:val="5"/>
    <w:uiPriority w:val="0"/>
    <w:rPr>
      <w:rFonts w:hint="default" w:ascii="Verdana" w:hAnsi="Verdana" w:cs="Verdana"/>
      <w:color w:val="000000"/>
      <w:sz w:val="12"/>
      <w:szCs w:val="12"/>
      <w:u w:val="none"/>
    </w:rPr>
  </w:style>
  <w:style w:type="character" w:customStyle="1" w:styleId="8">
    <w:name w:val="font31"/>
    <w:basedOn w:val="5"/>
    <w:qFormat/>
    <w:uiPriority w:val="0"/>
    <w:rPr>
      <w:rFonts w:hint="eastAsia" w:ascii="宋体" w:hAnsi="宋体" w:eastAsia="宋体" w:cs="宋体"/>
      <w:color w:val="000000"/>
      <w:sz w:val="12"/>
      <w:szCs w:val="1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3883</Words>
  <Characters>5020</Characters>
  <Lines>0</Lines>
  <Paragraphs>0</Paragraphs>
  <TotalTime>154</TotalTime>
  <ScaleCrop>false</ScaleCrop>
  <LinksUpToDate>false</LinksUpToDate>
  <CharactersWithSpaces>5140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2026-01-13T01:16:00Z</dcterms:created>
  <dc:creator>泛微网络</dc:creator>
  <cp:lastModifiedBy>汪红雨</cp:lastModifiedBy>
  <dcterms:modified xsi:type="dcterms:W3CDTF">2026-07-01T02:07:57Z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570E330D20C047B9B785D0253112EBE1_13</vt:lpwstr>
  </property>
  <property fmtid="{D5CDD505-2E9C-101B-9397-08002B2CF9AE}" pid="4" name="KSOTemplateDocerSaveRecord">
    <vt:lpwstr>eyJoZGlkIjoiMjMwZGEyYTVkZjAxOTg1NzczM2UxMmMwNjA2MDU5ZDkiLCJ1c2VySWQiOiIxNzY2MTEzNjM1In0=</vt:lpwstr>
  </property>
</Properties>
</file>